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RESOURCES</w:t>
      </w:r>
      <w:r>
        <w:t xml:space="preserve"> </w:t>
      </w:r>
      <w:r>
        <w:t xml:space="preserve">FOR</w:t>
      </w:r>
      <w:r>
        <w:t xml:space="preserve"> </w:t>
      </w:r>
      <w:r>
        <w:t xml:space="preserve">FIRST</w:t>
      </w:r>
      <w:r>
        <w:t xml:space="preserve"> </w:t>
      </w:r>
      <w:r>
        <w:t xml:space="preserve">RESPONDERS</w:t>
      </w:r>
      <w:r>
        <w:t xml:space="preserve"> </w:t>
      </w:r>
      <w:r>
        <w:t xml:space="preserve">WHO</w:t>
      </w:r>
      <w:r>
        <w:t xml:space="preserve"> </w:t>
      </w:r>
      <w:r>
        <w:t xml:space="preserve">ENGAGE</w:t>
      </w:r>
      <w:r>
        <w:t xml:space="preserve"> </w:t>
      </w:r>
      <w:r>
        <w:t xml:space="preserve">WITH</w:t>
      </w:r>
      <w:r>
        <w:t xml:space="preserve"> </w:t>
      </w:r>
      <w:r>
        <w:t xml:space="preserve">VETERANS’</w:t>
      </w:r>
      <w:r>
        <w:t xml:space="preserve"> </w:t>
      </w:r>
      <w:r>
        <w:t xml:space="preserve">EXPERIENCING</w:t>
      </w:r>
      <w:r>
        <w:t xml:space="preserve"> </w:t>
      </w:r>
      <w:r>
        <w:t xml:space="preserve">SUICIDE</w:t>
      </w:r>
      <w:r>
        <w:t xml:space="preserve"> </w:t>
      </w:r>
      <w:r>
        <w:t xml:space="preserve">CRISIS:</w:t>
      </w:r>
    </w:p>
    <w:p>
      <w:pPr>
        <w:pStyle w:val="Subtitle"/>
      </w:pPr>
      <w:r>
        <w:t xml:space="preserve">Outcomes</w:t>
      </w:r>
      <w:r>
        <w:t xml:space="preserve"> </w:t>
      </w:r>
      <w:r>
        <w:t xml:space="preserve">of</w:t>
      </w:r>
      <w:r>
        <w:t xml:space="preserve"> </w:t>
      </w:r>
      <w:r>
        <w:t xml:space="preserve">a</w:t>
      </w:r>
      <w:r>
        <w:t xml:space="preserve"> </w:t>
      </w:r>
      <w:r>
        <w:t xml:space="preserve">co-design</w:t>
      </w:r>
      <w:r>
        <w:t xml:space="preserve"> </w:t>
      </w:r>
      <w:r>
        <w:t xml:space="preserve">workshop</w:t>
      </w:r>
      <w:r>
        <w:t xml:space="preserve"> </w:t>
      </w:r>
      <w:r>
        <w:t xml:space="preserve">and</w:t>
      </w:r>
      <w:r>
        <w:t xml:space="preserve"> </w:t>
      </w:r>
      <w:r>
        <w:t xml:space="preserve">recommendations</w:t>
      </w:r>
      <w:r>
        <w:t xml:space="preserve"> </w:t>
      </w:r>
      <w:r>
        <w:t xml:space="preserve">for</w:t>
      </w:r>
      <w:r>
        <w:t xml:space="preserve"> </w:t>
      </w:r>
      <w:r>
        <w:t xml:space="preserve">resource</w:t>
      </w:r>
      <w:r>
        <w:t xml:space="preserve"> </w:t>
      </w:r>
      <w:r>
        <w:t xml:space="preserve">development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1. Executive Summary</w:t>
      </w:r>
    </w:p>
    <w:p>
      <w:pPr>
        <w:pStyle w:val="FirstParagraph"/>
      </w:pPr>
      <w:r>
        <w:t xml:space="preserve">Text to go here</w:t>
      </w:r>
    </w:p>
    <w:bookmarkEnd w:id="20"/>
    <w:bookmarkStart w:id="21" w:name="summary-of-recommendations"/>
    <w:p>
      <w:pPr>
        <w:pStyle w:val="Heading1"/>
      </w:pPr>
      <w:r>
        <w:t xml:space="preserve">2. Summary of Recommendations</w:t>
      </w:r>
    </w:p>
    <w:p>
      <w:pPr>
        <w:pStyle w:val="FirstParagraph"/>
      </w:pPr>
      <w:r>
        <w:t xml:space="preserve">Text to go here</w:t>
      </w:r>
    </w:p>
    <w:bookmarkEnd w:id="21"/>
    <w:bookmarkStart w:id="22" w:name="background"/>
    <w:p>
      <w:pPr>
        <w:pStyle w:val="Heading1"/>
      </w:pPr>
      <w:r>
        <w:t xml:space="preserve">3. Background</w:t>
      </w:r>
    </w:p>
    <w:p>
      <w:pPr>
        <w:pStyle w:val="FirstParagraph"/>
      </w:pPr>
      <w:r>
        <w:t xml:space="preserve">Suicide in veteran communities is a high profile issue of concern in veteran health. The need to improve responses to veterans who experience suicidality, and their families, is being highlighted by the current Royal Commission into Defence and Veteran Suicides.</w:t>
      </w:r>
    </w:p>
    <w:p>
      <w:pPr>
        <w:pStyle w:val="BodyText"/>
      </w:pPr>
      <w:r>
        <w:t xml:space="preserve">Suicide crises that result in a call to emergency services (police, paramedics or emergency mental health workers), represent a critical</w:t>
      </w:r>
      <w:r>
        <w:t xml:space="preserve"> </w:t>
      </w:r>
      <w:r>
        <w:t xml:space="preserve">‘</w:t>
      </w:r>
      <w:r>
        <w:t xml:space="preserve">touchpoint</w:t>
      </w:r>
      <w:r>
        <w:t xml:space="preserve">’</w:t>
      </w:r>
      <w:r>
        <w:t xml:space="preserve"> </w:t>
      </w:r>
      <w:r>
        <w:t xml:space="preserve">between individuals in crisis and health and social care services (WHO, 2009).</w:t>
      </w:r>
    </w:p>
    <w:p>
      <w:pPr>
        <w:pStyle w:val="BodyText"/>
      </w:pPr>
      <w:r>
        <w:t xml:space="preserve">In spite of this, there is scant evidence or interventions to inform optimal first responses, including first responses tailored to the specific needs of specific populations, including defence and veteran populations.</w:t>
      </w:r>
    </w:p>
    <w:bookmarkEnd w:id="22"/>
    <w:bookmarkStart w:id="23" w:name="project-aims"/>
    <w:p>
      <w:pPr>
        <w:pStyle w:val="Heading1"/>
      </w:pPr>
      <w:r>
        <w:t xml:space="preserve">4. Project aims</w:t>
      </w:r>
    </w:p>
    <w:p>
      <w:pPr>
        <w:pStyle w:val="FirstParagraph"/>
      </w:pPr>
      <w:r>
        <w:t xml:space="preserve">The present project aims to create and evaluate lived experience and evidence-informed video resources, based on qualitative research to be undertaken with veterans who have experienced suicidality, their families, and police and ambulance responders to respond to individuals in crisis. These resources will be available for use by all first responders, and other organisations who provide crisis responses to individuals who are currently serving or veterans.</w:t>
      </w:r>
    </w:p>
    <w:bookmarkEnd w:id="23"/>
    <w:bookmarkStart w:id="24" w:name="approach"/>
    <w:p>
      <w:pPr>
        <w:pStyle w:val="Heading1"/>
      </w:pPr>
      <w:r>
        <w:t xml:space="preserve">5. Approach</w:t>
      </w:r>
    </w:p>
    <w:p>
      <w:pPr>
        <w:pStyle w:val="FirstParagraph"/>
      </w:pPr>
      <w:r>
        <w:t xml:space="preserve">The project is envisaged to comprise three phases: 1. Qualitative interviews and focus groups 2. Video development 3. Evaluation This document outlines the outcomes of phase 2 of this project, pertaining to a one-day co-design workshop to develop video resources and training materials, including process, outcomes, evaluation, and recommendations.</w:t>
      </w:r>
    </w:p>
    <w:bookmarkEnd w:id="24"/>
    <w:bookmarkStart w:id="40" w:name="workshop"/>
    <w:p>
      <w:pPr>
        <w:pStyle w:val="Heading1"/>
      </w:pPr>
      <w:r>
        <w:t xml:space="preserve">6. Workshop</w:t>
      </w:r>
    </w:p>
    <w:p>
      <w:pPr>
        <w:pStyle w:val="FirstParagraph"/>
      </w:pPr>
      <w:r>
        <w:t xml:space="preserve">A one-day co-design workshop was hosted at the United Services Club, in Spring Hill, Brisbane, Queensland on 20 March, 2023. This workshop was attended by 27 delegates spanning:</w:t>
      </w:r>
    </w:p>
    <w:p>
      <w:pPr>
        <w:numPr>
          <w:ilvl w:val="0"/>
          <w:numId w:val="1001"/>
        </w:numPr>
      </w:pPr>
      <w:r>
        <w:t xml:space="preserve">Queensland Centre for Mental Health Research</w:t>
      </w:r>
    </w:p>
    <w:p>
      <w:pPr>
        <w:numPr>
          <w:ilvl w:val="0"/>
          <w:numId w:val="1001"/>
        </w:numPr>
      </w:pPr>
      <w:r>
        <w:t xml:space="preserve">Gallipoli Medical Research Foundation</w:t>
      </w:r>
    </w:p>
    <w:p>
      <w:pPr>
        <w:numPr>
          <w:ilvl w:val="0"/>
          <w:numId w:val="1001"/>
        </w:numPr>
      </w:pPr>
      <w:r>
        <w:t xml:space="preserve">Queensland Health</w:t>
      </w:r>
    </w:p>
    <w:p>
      <w:pPr>
        <w:numPr>
          <w:ilvl w:val="0"/>
          <w:numId w:val="1001"/>
        </w:numPr>
      </w:pPr>
      <w:r>
        <w:t xml:space="preserve">Queensland Police Service</w:t>
      </w:r>
    </w:p>
    <w:p>
      <w:pPr>
        <w:numPr>
          <w:ilvl w:val="0"/>
          <w:numId w:val="1001"/>
        </w:numPr>
      </w:pPr>
      <w:r>
        <w:t xml:space="preserve">Queensland Ambulance Service</w:t>
      </w:r>
    </w:p>
    <w:p>
      <w:pPr>
        <w:numPr>
          <w:ilvl w:val="0"/>
          <w:numId w:val="1001"/>
        </w:numPr>
      </w:pPr>
      <w:r>
        <w:t xml:space="preserve">Australian Defence Force</w:t>
      </w:r>
    </w:p>
    <w:p>
      <w:pPr>
        <w:pStyle w:val="FirstParagraph"/>
      </w:pPr>
      <w:r>
        <w:t xml:space="preserve">The day was defined by four key components: context and background; interactive activities; filming; and evaluation</w:t>
      </w:r>
    </w:p>
    <w:bookmarkStart w:id="31" w:name="context-and-background"/>
    <w:p>
      <w:pPr>
        <w:pStyle w:val="Heading2"/>
      </w:pPr>
      <w:r>
        <w:t xml:space="preserve">6.1 Context and background</w:t>
      </w:r>
    </w:p>
    <w:p>
      <w:pPr>
        <w:pStyle w:val="FirstParagraph"/>
      </w:pPr>
      <w:r>
        <w:t xml:space="preserve">Three presentations were delivered to provide context and background to the purpose of the workshop</w:t>
      </w:r>
    </w:p>
    <w:bookmarkStart w:id="25" w:name="presentation-1"/>
    <w:p>
      <w:pPr>
        <w:pStyle w:val="Heading3"/>
      </w:pPr>
      <w:r>
        <w:t xml:space="preserve">6.1.1 Presentation 1</w:t>
      </w:r>
    </w:p>
    <w:p>
      <w:pPr>
        <w:pStyle w:val="FirstParagraph"/>
      </w:pPr>
      <w:r>
        <w:rPr>
          <w:bCs/>
          <w:b/>
        </w:rPr>
        <w:t xml:space="preserve">Suicide crisis, first responders, current and ex ADF members: current clinical services and pathways – A/Prof Ed Heffernan</w:t>
      </w:r>
    </w:p>
    <w:p>
      <w:pPr>
        <w:pStyle w:val="BodyText"/>
      </w:pPr>
      <w:r>
        <w:t xml:space="preserve">In this presentation, A/Prof Heffernan provided an overview of the context to the videos project, in terms of rising pressures on police and paramedics to respond to individuals in crisis, and the existing service context in Queensland.</w:t>
      </w:r>
    </w:p>
    <w:p>
      <w:pPr>
        <w:pStyle w:val="BodyText"/>
      </w:pPr>
      <w:r>
        <w:t xml:space="preserve">A/Prof Heffernan also noted the definition of veteran to be used for this project, as follows:</w:t>
      </w:r>
      <w:r>
        <w:t xml:space="preserve"> </w:t>
      </w:r>
      <w:r>
        <w:t xml:space="preserve">“</w:t>
      </w:r>
      <w:r>
        <w:t xml:space="preserve">people who have any experience in the ADF including permanent, reserve, and former (ex-serving) personnel</w:t>
      </w:r>
      <w:r>
        <w:t xml:space="preserve">”</w:t>
      </w:r>
      <w:r>
        <w:t xml:space="preserve">. </w:t>
      </w:r>
    </w:p>
    <w:bookmarkEnd w:id="25"/>
    <w:bookmarkStart w:id="26" w:name="presentation-2"/>
    <w:p>
      <w:pPr>
        <w:pStyle w:val="Heading3"/>
      </w:pPr>
      <w:r>
        <w:t xml:space="preserve">6.1.2 Presentation 2</w:t>
      </w:r>
    </w:p>
    <w:p>
      <w:pPr>
        <w:pStyle w:val="FirstParagraph"/>
      </w:pPr>
      <w:r>
        <w:rPr>
          <w:bCs/>
          <w:b/>
        </w:rPr>
        <w:t xml:space="preserve">The Partners in Prevention videos project – background, outcomes and learnings – Dr Carla Meurk</w:t>
      </w:r>
    </w:p>
    <w:p>
      <w:pPr>
        <w:pStyle w:val="BodyText"/>
      </w:pPr>
      <w:r>
        <w:t xml:space="preserve">In this presentation, Dr Meurk overviewed the initial Partners in Prevention videos project, and discussed key learnings arising, including highlighting key considerations for filming, such as:</w:t>
      </w:r>
    </w:p>
    <w:p>
      <w:pPr>
        <w:numPr>
          <w:ilvl w:val="0"/>
          <w:numId w:val="1002"/>
        </w:numPr>
      </w:pPr>
      <w:r>
        <w:t xml:space="preserve">Being mindful of length, in general viewership drops substantially after 6 minutes length.</w:t>
      </w:r>
    </w:p>
    <w:p>
      <w:pPr>
        <w:numPr>
          <w:ilvl w:val="0"/>
          <w:numId w:val="1002"/>
        </w:numPr>
      </w:pPr>
      <w:r>
        <w:t xml:space="preserve">Consideration of what/when videos (versus text or face-to-face delivery) are the best approach e.g., the ability of videos to effectively convey emotion and connection to material through emotional connection.</w:t>
      </w:r>
    </w:p>
    <w:p>
      <w:pPr>
        <w:numPr>
          <w:ilvl w:val="0"/>
          <w:numId w:val="1002"/>
        </w:numPr>
      </w:pPr>
      <w:r>
        <w:t xml:space="preserve">Focus on one specific or topic or question per video</w:t>
      </w:r>
    </w:p>
    <w:p>
      <w:pPr>
        <w:numPr>
          <w:ilvl w:val="0"/>
          <w:numId w:val="1002"/>
        </w:numPr>
      </w:pPr>
      <w:r>
        <w:t xml:space="preserve">Video resources can be good where visual aids, diagrams, or animations can be used to convey information easily and/or in a more appropriate manner than having faces on camera.</w:t>
      </w:r>
    </w:p>
    <w:p>
      <w:pPr>
        <w:pStyle w:val="FirstParagraph"/>
      </w:pPr>
      <w:r>
        <w:t xml:space="preserve">The presentation ended with three key questions:</w:t>
      </w:r>
    </w:p>
    <w:p>
      <w:pPr>
        <w:numPr>
          <w:ilvl w:val="0"/>
          <w:numId w:val="1003"/>
        </w:numPr>
      </w:pPr>
      <w:r>
        <w:t xml:space="preserve">What are our objectives for these resources?</w:t>
      </w:r>
    </w:p>
    <w:p>
      <w:pPr>
        <w:numPr>
          <w:ilvl w:val="0"/>
          <w:numId w:val="1003"/>
        </w:numPr>
      </w:pPr>
      <w:r>
        <w:t xml:space="preserve">Who are they for?</w:t>
      </w:r>
    </w:p>
    <w:p>
      <w:pPr>
        <w:numPr>
          <w:ilvl w:val="0"/>
          <w:numId w:val="1003"/>
        </w:numPr>
      </w:pPr>
      <w:r>
        <w:t xml:space="preserve">What is the ONE thing you want the audience to come away with for each video?</w:t>
      </w:r>
    </w:p>
    <w:p>
      <w:pPr>
        <w:pStyle w:val="FirstParagraph"/>
      </w:pPr>
      <w:r>
        <w:t xml:space="preserve">A schema of the proposed video production process, was presented, as follows:</w:t>
      </w:r>
    </w:p>
    <w:tbl>
      <w:tblPr>
        <w:tblStyle w:val="Table"/>
        <w:tblW w:type="pct" w:w="4988"/>
        <w:tblLook w:firstRow="1" w:lastRow="0" w:firstColumn="0" w:lastColumn="0" w:noHBand="0" w:noVBand="0" w:val="0020"/>
      </w:tblPr>
      <w:tblGrid>
        <w:gridCol w:w="3988"/>
        <w:gridCol w:w="1725"/>
        <w:gridCol w:w="2186"/>
      </w:tblGrid>
      <w:tr>
        <w:trPr>
          <w:tblHeader w:val="true"/>
        </w:trPr>
        <w:tc>
          <w:tcPr/>
          <w:p>
            <w:pPr>
              <w:numPr>
                <w:ilvl w:val="0"/>
                <w:numId w:val="1004"/>
              </w:numPr>
              <w:pStyle w:val="Compact"/>
              <w:jc w:val="left"/>
            </w:pPr>
            <w:r>
              <w:t xml:space="preserve">Pre-production</w:t>
            </w:r>
          </w:p>
        </w:tc>
        <w:tc>
          <w:tcPr/>
          <w:p>
            <w:pPr>
              <w:numPr>
                <w:ilvl w:val="0"/>
                <w:numId w:val="1005"/>
              </w:numPr>
              <w:pStyle w:val="Compact"/>
              <w:jc w:val="left"/>
            </w:pPr>
            <w:r>
              <w:t xml:space="preserve">Production</w:t>
            </w:r>
          </w:p>
        </w:tc>
        <w:tc>
          <w:tcPr/>
          <w:p>
            <w:pPr>
              <w:numPr>
                <w:ilvl w:val="0"/>
                <w:numId w:val="1006"/>
              </w:numPr>
              <w:pStyle w:val="Compact"/>
              <w:jc w:val="left"/>
            </w:pPr>
            <w:r>
              <w:t xml:space="preserve">Production/post-production</w:t>
            </w:r>
          </w:p>
        </w:tc>
      </w:tr>
      <w:tr>
        <w:tc>
          <w:tcPr/>
          <w:p>
            <w:pPr>
              <w:numPr>
                <w:ilvl w:val="0"/>
                <w:numId w:val="1007"/>
              </w:numPr>
              <w:jc w:val="left"/>
            </w:pPr>
            <w:r>
              <w:t xml:space="preserve">Workshop – gathering ideas and provisional consensus</w:t>
            </w:r>
          </w:p>
          <w:p>
            <w:pPr>
              <w:numPr>
                <w:ilvl w:val="0"/>
                <w:numId w:val="1007"/>
              </w:numPr>
              <w:jc w:val="left"/>
            </w:pPr>
            <w:r>
              <w:t xml:space="preserve">Project investigators and multimedia team prepare a proposal for the format/type for each video/topic.</w:t>
            </w:r>
          </w:p>
          <w:p>
            <w:pPr>
              <w:numPr>
                <w:ilvl w:val="0"/>
                <w:numId w:val="1007"/>
              </w:numPr>
              <w:jc w:val="left"/>
            </w:pPr>
            <w:r>
              <w:t xml:space="preserve">Once approved by stakeholders, project investigators and multimedia team will prepare pre-production materials as necessary for further approval – for e.g. storyboards, list of interview participants.</w:t>
            </w:r>
          </w:p>
        </w:tc>
        <w:tc>
          <w:tcPr/>
          <w:p>
            <w:pPr>
              <w:numPr>
                <w:ilvl w:val="0"/>
                <w:numId w:val="1008"/>
              </w:numPr>
              <w:jc w:val="left"/>
            </w:pPr>
            <w:r>
              <w:t xml:space="preserve">With endorsement from stakeholders, the team will move onto production. Comprising:</w:t>
            </w:r>
          </w:p>
          <w:p>
            <w:pPr>
              <w:numPr>
                <w:ilvl w:val="1"/>
                <w:numId w:val="1009"/>
              </w:numPr>
              <w:jc w:val="left"/>
            </w:pPr>
            <w:r>
              <w:t xml:space="preserve">Film shoots</w:t>
            </w:r>
          </w:p>
          <w:p>
            <w:pPr>
              <w:numPr>
                <w:ilvl w:val="1"/>
                <w:numId w:val="1009"/>
              </w:numPr>
              <w:jc w:val="left"/>
            </w:pPr>
            <w:r>
              <w:t xml:space="preserve">Audio recording</w:t>
            </w:r>
          </w:p>
          <w:p>
            <w:pPr>
              <w:numPr>
                <w:ilvl w:val="1"/>
                <w:numId w:val="1009"/>
              </w:numPr>
              <w:jc w:val="left"/>
            </w:pPr>
            <w:r>
              <w:t xml:space="preserve">Title / animation production</w:t>
            </w:r>
          </w:p>
        </w:tc>
        <w:tc>
          <w:tcPr/>
          <w:p>
            <w:pPr>
              <w:numPr>
                <w:ilvl w:val="0"/>
                <w:numId w:val="1010"/>
              </w:numPr>
              <w:jc w:val="left"/>
            </w:pPr>
            <w:r>
              <w:t xml:space="preserve">A rough cut / first draft of each project will be prepared and presented back to stakeholders for feedback.</w:t>
            </w:r>
          </w:p>
          <w:p>
            <w:pPr>
              <w:numPr>
                <w:ilvl w:val="0"/>
                <w:numId w:val="1010"/>
              </w:numPr>
              <w:jc w:val="left"/>
            </w:pPr>
            <w:r>
              <w:t xml:space="preserve">Another round of post-production will take place to resolve feedback.</w:t>
            </w:r>
          </w:p>
          <w:p>
            <w:pPr>
              <w:numPr>
                <w:ilvl w:val="0"/>
                <w:numId w:val="1010"/>
              </w:numPr>
              <w:jc w:val="left"/>
            </w:pPr>
            <w:r>
              <w:t xml:space="preserve">Following implementation of resources, evaluation will take place.</w:t>
            </w:r>
          </w:p>
        </w:tc>
      </w:tr>
    </w:tbl>
    <w:bookmarkEnd w:id="26"/>
    <w:bookmarkStart w:id="27" w:name="presentation-3"/>
    <w:p>
      <w:pPr>
        <w:pStyle w:val="Heading3"/>
      </w:pPr>
      <w:r>
        <w:t xml:space="preserve">6.1.3 Presentation 3</w:t>
      </w:r>
    </w:p>
    <w:p>
      <w:pPr>
        <w:pStyle w:val="FirstParagraph"/>
      </w:pPr>
      <w:r>
        <w:rPr>
          <w:bCs/>
          <w:b/>
        </w:rPr>
        <w:t xml:space="preserve">Training needs and gaps: Preliminary findings from qualitative interviews and focus groups with individuals with lived experience, families, and first responders – Dr Kerri-Ann Woodbury and Dr Emina Prguda</w:t>
      </w:r>
    </w:p>
    <w:p>
      <w:pPr>
        <w:pStyle w:val="BodyText"/>
      </w:pPr>
      <w:r>
        <w:t xml:space="preserve">TBC from Kerri-Ann and Emina</w:t>
      </w:r>
    </w:p>
    <w:bookmarkEnd w:id="27"/>
    <w:bookmarkStart w:id="28" w:name="interactive-activities"/>
    <w:p>
      <w:pPr>
        <w:pStyle w:val="Heading3"/>
      </w:pPr>
      <w:r>
        <w:t xml:space="preserve">6.1.4 Interactive activities</w:t>
      </w:r>
    </w:p>
    <w:p>
      <w:pPr>
        <w:pStyle w:val="FirstParagraph"/>
      </w:pPr>
      <w:r>
        <w:t xml:space="preserve">Following presentations, workshop participants took part in four focussed interactive activities, with the purpose of progressing towards developing provisional consensus on the following matters:</w:t>
      </w:r>
    </w:p>
    <w:p>
      <w:pPr>
        <w:numPr>
          <w:ilvl w:val="0"/>
          <w:numId w:val="1011"/>
        </w:numPr>
      </w:pPr>
      <w:r>
        <w:t xml:space="preserve">Who is/are the target audience(s) for these video resources; and</w:t>
      </w:r>
    </w:p>
    <w:p>
      <w:pPr>
        <w:numPr>
          <w:ilvl w:val="0"/>
          <w:numId w:val="1011"/>
        </w:numPr>
      </w:pPr>
      <w:r>
        <w:t xml:space="preserve">What training needs will the video resources seek to meet (i.e., what are the videos aims and specific learning objectives)?</w:t>
      </w:r>
    </w:p>
    <w:p>
      <w:pPr>
        <w:numPr>
          <w:ilvl w:val="0"/>
          <w:numId w:val="1011"/>
        </w:numPr>
      </w:pPr>
      <w:r>
        <w:t xml:space="preserve">What are the number, content, and broad stylistic features, including approximate length, of resources to be produced?</w:t>
      </w:r>
    </w:p>
    <w:p>
      <w:pPr>
        <w:pStyle w:val="FirstParagraph"/>
      </w:pPr>
      <w:r>
        <w:t xml:space="preserve">There were two parts to the activities: (1) brainstorming at tables, and (2) a short summative survey based on each table’s consensus.</w:t>
      </w:r>
    </w:p>
    <w:bookmarkEnd w:id="28"/>
    <w:bookmarkStart w:id="29" w:name="filming"/>
    <w:p>
      <w:pPr>
        <w:pStyle w:val="Heading3"/>
      </w:pPr>
      <w:r>
        <w:t xml:space="preserve">6.1.5 Filming</w:t>
      </w:r>
    </w:p>
    <w:p>
      <w:pPr>
        <w:pStyle w:val="FirstParagraph"/>
      </w:pPr>
      <w:r>
        <w:t xml:space="preserve">In addition to the interactive activities, a film crew was on site for the day to obtain responses from meeting attendees for potential use in video resources. Respondents were invited to respond to the following questions:</w:t>
      </w:r>
    </w:p>
    <w:p>
      <w:pPr>
        <w:numPr>
          <w:ilvl w:val="0"/>
          <w:numId w:val="1012"/>
        </w:numPr>
      </w:pPr>
      <w:r>
        <w:t xml:space="preserve">When you are talking to veterans, what specific communication skills do you use to engage them?</w:t>
      </w:r>
    </w:p>
    <w:p>
      <w:pPr>
        <w:numPr>
          <w:ilvl w:val="0"/>
          <w:numId w:val="1012"/>
        </w:numPr>
      </w:pPr>
      <w:r>
        <w:t xml:space="preserve">What, if anything, is it that’s unique about</w:t>
      </w:r>
      <w:r>
        <w:t xml:space="preserve"> </w:t>
      </w:r>
      <w:r>
        <w:rPr>
          <w:strike/>
        </w:rPr>
        <w:t xml:space="preserve">a</w:t>
      </w:r>
      <w:r>
        <w:t xml:space="preserve"> </w:t>
      </w:r>
      <w:r>
        <w:t xml:space="preserve">veterans’ in crisis?</w:t>
      </w:r>
    </w:p>
    <w:p>
      <w:pPr>
        <w:numPr>
          <w:ilvl w:val="0"/>
          <w:numId w:val="1012"/>
        </w:numPr>
      </w:pPr>
      <w:r>
        <w:t xml:space="preserve">What’s one implementable suggestion you could give to a 1</w:t>
      </w:r>
      <w:r>
        <w:rPr>
          <w:vertAlign w:val="superscript"/>
        </w:rPr>
        <w:t xml:space="preserve">st</w:t>
      </w:r>
      <w:r>
        <w:t xml:space="preserve"> </w:t>
      </w:r>
      <w:r>
        <w:t xml:space="preserve">responder on how to respond to veterans’ in crisis?</w:t>
      </w:r>
    </w:p>
    <w:bookmarkEnd w:id="29"/>
    <w:bookmarkStart w:id="30" w:name="evaluation"/>
    <w:p>
      <w:pPr>
        <w:pStyle w:val="Heading3"/>
      </w:pPr>
      <w:r>
        <w:t xml:space="preserve">6.1.6 Evaluation</w:t>
      </w:r>
    </w:p>
    <w:p>
      <w:pPr>
        <w:pStyle w:val="FirstParagraph"/>
      </w:pPr>
      <w:r>
        <w:t xml:space="preserve">At the end of the day, there was a preliminary discussion regarding an evaluation protocol for the project. A short survey from the day was circulated for participant feedback.</w:t>
      </w:r>
    </w:p>
    <w:bookmarkEnd w:id="30"/>
    <w:bookmarkEnd w:id="31"/>
    <w:bookmarkStart w:id="38" w:name="outcomes-and-provisional-consensus"/>
    <w:p>
      <w:pPr>
        <w:pStyle w:val="Heading2"/>
      </w:pPr>
      <w:r>
        <w:t xml:space="preserve">6.2 Outcomes and provisional consensus</w:t>
      </w:r>
    </w:p>
    <w:p>
      <w:pPr>
        <w:pStyle w:val="FirstParagraph"/>
      </w:pPr>
      <w:r>
        <w:rPr>
          <w:u w:val="single"/>
        </w:rPr>
        <w:t xml:space="preserve">Response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Activity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of workshop participants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Workshop Questions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63.6% (n = 14)</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Evaluaton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90.9% (n = 20)</w:t>
            </w:r>
          </w:p>
        </w:tc>
      </w:tr>
    </w:tbl>
    <w:bookmarkStart w:id="32" w:name="target-audiences"/>
    <w:p>
      <w:pPr>
        <w:pStyle w:val="Heading4"/>
      </w:pPr>
      <w:r>
        <w:t xml:space="preserve">6.2.0.1 Target audiences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audiences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of respondents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QAS front line, whole of organisation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(n = 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QPS front line/general duties, already qualified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(n = 12)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QAS Emergency Medical Dispatch operators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 (n = 11)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QLD health/co-responder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(n =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QPS front line, first year constable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(n = 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ADF medic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(n = 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QLD health, MH 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(n = 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QLD health, Mental Health Intervention Coordinators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(n = 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QLD health, acute care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(n = 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QPS, specialised roles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(n = 5)</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QLD fire service/RFS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(n = 3)</w:t>
            </w:r>
          </w:p>
        </w:tc>
      </w:tr>
    </w:tbl>
    <w:bookmarkEnd w:id="32"/>
    <w:bookmarkStart w:id="33" w:name="learning-objectives"/>
    <w:p>
      <w:pPr>
        <w:pStyle w:val="Heading4"/>
      </w:pPr>
      <w:r>
        <w:t xml:space="preserve">6.2.0.2 Learning objectives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objectives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of respondents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Building connection, rapport and trust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(n = 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 centered approaches to suicide crisis situation, responding to people on worst day of their 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(n = 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Demystifying veterans' crisis and alleviating responders bias and fear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(n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Referral pathways and support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(n = 12)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Understanding the military experience and language; understanding what it means to identity/lost of identity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 (n = 12)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Epidemiology of suicidality, normalising and de-stigmatising suicide crisis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 (n = 10)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Promoting help seeking behaviours post crisis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(n = 9)</w:t>
            </w:r>
          </w:p>
        </w:tc>
      </w:tr>
    </w:tbl>
    <w:bookmarkEnd w:id="33"/>
    <w:bookmarkStart w:id="34" w:name="topics-of-videos"/>
    <w:p>
      <w:pPr>
        <w:pStyle w:val="Heading4"/>
      </w:pPr>
      <w:r>
        <w:t xml:space="preserve">6.2.0.3 Topics of videos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Video topics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of respondents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Communication - how to communicate and keep them informed (presenting them with safe options)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(n = 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 module on resources available (referral pathways and organisation supporting veteran)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(n = 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Understanding the veterans experience in crisis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(n = 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Working with veterans - trauma informed responses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(n = 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Being able to be adaptive and flexible in responding to veterans' in crisis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 (n = 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Rapport building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(n =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Orienting to the person and the problem at hand. Not being distracted by their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(n = 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Cultural Change - anyone can make an influence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(n =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Understanding your training bias and how it may not be effective responding to ADF veterans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(n = 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Difference in response and risk assessment in QAS and QPS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(n = 1)</w:t>
            </w:r>
          </w:p>
        </w:tc>
      </w:tr>
    </w:tbl>
    <w:bookmarkEnd w:id="34"/>
    <w:bookmarkStart w:id="35" w:name="learning-package-style"/>
    <w:p>
      <w:pPr>
        <w:pStyle w:val="Heading4"/>
      </w:pPr>
      <w:r>
        <w:t xml:space="preserve">6.2.0.4 Learning package style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Package styles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of respondents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 mix/hybrid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(n = 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 comprehensive e-learning package/module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(n = 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(n = 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Standalone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(n = 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(n = 0)</w:t>
            </w:r>
          </w:p>
        </w:tc>
      </w:tr>
    </w:tbl>
    <w:bookmarkEnd w:id="35"/>
    <w:bookmarkStart w:id="37" w:name="synthesis-of-outcomes"/>
    <w:p>
      <w:pPr>
        <w:pStyle w:val="Heading3"/>
      </w:pPr>
      <w:r>
        <w:t xml:space="preserve">6.2.1 Synthesis of Outcomes</w:t>
      </w:r>
    </w:p>
    <w:p>
      <w:pPr>
        <w:pStyle w:val="FirstParagraph"/>
      </w:pPr>
      <w:r>
        <w:t xml:space="preserve">As a means to refine the scope, answers regarding target audience, learning objectives and video topics were synthesized to identify areas of consistency and misalignment.</w:t>
      </w:r>
    </w:p>
    <w:p>
      <w:pPr>
        <w:pStyle w:val="BodyText"/>
      </w:pPr>
      <w:r>
        <w:rPr>
          <w:u w:val="single"/>
        </w:rPr>
        <w:t xml:space="preserve">Target audience</w:t>
      </w:r>
    </w:p>
    <w:p>
      <w:pPr>
        <w:pStyle w:val="BodyText"/>
      </w:pPr>
      <w:r>
        <w:t xml:space="preserve">With regards to target audience, the vast majority of attendees endorsed the idea that the target audience for training should be QPS front line/general duties officers and QAS front line staff across the whole of organisation. The needs of these target audiences appeared to align with consensus around learning objectives and video topics. The next most endorsed category were QAS Emergency Medical Dispatchers, however, the prescriptive nature of this group’s role, and according needs, did not appear to align with the learning objectives or topics as relevant to other groups.</w:t>
      </w:r>
    </w:p>
    <w:p>
      <w:pPr>
        <w:pStyle w:val="BodyText"/>
      </w:pPr>
      <w:r>
        <w:t xml:space="preserve">Queensland Health co-responders, MH call attendants, Acute Care Teams and Mental Health Intervention Coordinators, were considered to have similar needs and therefore could be grouped together as the equivalent Queensland Health</w:t>
      </w:r>
      <w:r>
        <w:t xml:space="preserve"> </w:t>
      </w:r>
      <w:r>
        <w:t xml:space="preserve">‘</w:t>
      </w:r>
      <w:r>
        <w:t xml:space="preserve">frontline staff</w:t>
      </w:r>
      <w:r>
        <w:t xml:space="preserve">’</w:t>
      </w:r>
      <w:r>
        <w:t xml:space="preserve">.</w:t>
      </w:r>
    </w:p>
    <w:p>
      <w:pPr>
        <w:pStyle w:val="BodyText"/>
      </w:pPr>
      <w:r>
        <w:t xml:space="preserve">Other organisations, such as ADF and QFS, maybe secondary beneficiaries of resources but, based on previous learnings, expanding the target audience across too many organisations risks resources not effectively targeting any.</w:t>
      </w:r>
    </w:p>
    <w:p>
      <w:pPr>
        <w:pStyle w:val="BodyText"/>
      </w:pPr>
      <w:r>
        <w:t xml:space="preserve">Consequently, a provisional recommendation for target audience was identified as follows:</w:t>
      </w:r>
    </w:p>
    <w:p>
      <w:pPr>
        <w:numPr>
          <w:ilvl w:val="0"/>
          <w:numId w:val="1013"/>
        </w:numPr>
      </w:pPr>
      <w:r>
        <w:t xml:space="preserve">QPS front line/general duties officers</w:t>
      </w:r>
    </w:p>
    <w:p>
      <w:pPr>
        <w:numPr>
          <w:ilvl w:val="0"/>
          <w:numId w:val="1013"/>
        </w:numPr>
      </w:pPr>
      <w:r>
        <w:t xml:space="preserve">QAS front line staff across the organisation</w:t>
      </w:r>
    </w:p>
    <w:p>
      <w:pPr>
        <w:numPr>
          <w:ilvl w:val="0"/>
          <w:numId w:val="1013"/>
        </w:numPr>
      </w:pPr>
      <w:r>
        <w:t xml:space="preserve">Qld Health co-responders, MH call attendants, Acute Care Teams and Mental Health Intervention Coordinators</w:t>
      </w:r>
    </w:p>
    <w:p>
      <w:pPr>
        <w:pStyle w:val="FirstParagraph"/>
      </w:pPr>
      <w:r>
        <w:rPr>
          <w:u w:val="single"/>
        </w:rPr>
        <w:t xml:space="preserve">Learning objectives and video (resource) topics</w:t>
      </w:r>
    </w:p>
    <w:p>
      <w:pPr>
        <w:pStyle w:val="BodyText"/>
      </w:pPr>
      <w:r>
        <w:t xml:space="preserve">Provisional consensus was achieved regarding seven learning objectives. These were assessed in relation to the ten video topics identified, which also achieved high levels of consensus.</w:t>
      </w:r>
    </w:p>
    <w:p>
      <w:pPr>
        <w:pStyle w:val="BodyText"/>
      </w:pPr>
      <w:r>
        <w:t xml:space="preserve">Mapping learning objectives to topics suggested, identified areas of alignment which allowed for further refinement. The table below identifies the seven learning objectives identified, and maps them to a synthesized and refined list of video topics. In this process, one learning objective was excluded, due to its not having an alignment with video topics identified. As can be seen, learning objectives map to parts of multiple video topics.</w:t>
      </w:r>
    </w:p>
    <w:tbl>
      <w:tblPr>
        <w:tblStyle w:val="Table"/>
        <w:tblW w:type="pct" w:w="5000"/>
        <w:tblLook w:firstRow="1" w:lastRow="0" w:firstColumn="0" w:lastColumn="0" w:noHBand="0" w:noVBand="0" w:val="0020"/>
      </w:tblPr>
      <w:tblGrid>
        <w:gridCol w:w="4177"/>
        <w:gridCol w:w="3742"/>
      </w:tblGrid>
      <w:tr>
        <w:trPr>
          <w:tblHeader w:val="true"/>
        </w:trPr>
        <w:tc>
          <w:tcPr/>
          <w:p>
            <w:pPr>
              <w:pStyle w:val="Compact"/>
              <w:jc w:val="left"/>
            </w:pPr>
            <w:r>
              <w:t xml:space="preserve">Learning objectives</w:t>
            </w:r>
          </w:p>
        </w:tc>
        <w:tc>
          <w:tcPr/>
          <w:p>
            <w:pPr>
              <w:pStyle w:val="Compact"/>
              <w:jc w:val="left"/>
            </w:pPr>
            <w:r>
              <w:t xml:space="preserve">Video (resource) topics</w:t>
            </w:r>
          </w:p>
        </w:tc>
      </w:tr>
      <w:tr>
        <w:tc>
          <w:tcPr/>
          <w:p>
            <w:pPr>
              <w:numPr>
                <w:ilvl w:val="0"/>
                <w:numId w:val="1014"/>
              </w:numPr>
              <w:pStyle w:val="Compact"/>
              <w:jc w:val="left"/>
            </w:pPr>
            <w:r>
              <w:t xml:space="preserve">Person centred approaches to suicide crisis situations, responding to people on worst day of their life</w:t>
            </w:r>
          </w:p>
        </w:tc>
        <w:tc>
          <w:tcPr/>
          <w:p>
            <w:pPr>
              <w:numPr>
                <w:ilvl w:val="0"/>
                <w:numId w:val="1015"/>
              </w:numPr>
              <w:jc w:val="left"/>
            </w:pPr>
            <w:r>
              <w:t xml:space="preserve">Understanding the veteran’s experience in crisis</w:t>
            </w:r>
          </w:p>
          <w:p>
            <w:pPr>
              <w:numPr>
                <w:ilvl w:val="0"/>
                <w:numId w:val="1015"/>
              </w:numPr>
              <w:jc w:val="left"/>
            </w:pPr>
            <w:r>
              <w:t xml:space="preserve">Working with veterans – trauma informed responses</w:t>
            </w:r>
          </w:p>
        </w:tc>
      </w:tr>
      <w:tr>
        <w:tc>
          <w:tcPr/>
          <w:p>
            <w:pPr>
              <w:numPr>
                <w:ilvl w:val="0"/>
                <w:numId w:val="1016"/>
              </w:numPr>
              <w:pStyle w:val="Compact"/>
              <w:jc w:val="left"/>
            </w:pPr>
            <w:r>
              <w:t xml:space="preserve">Building connection, rapport and trust with veterans</w:t>
            </w:r>
          </w:p>
        </w:tc>
        <w:tc>
          <w:tcPr/>
          <w:p>
            <w:pPr>
              <w:numPr>
                <w:ilvl w:val="0"/>
                <w:numId w:val="1017"/>
              </w:numPr>
              <w:pStyle w:val="Compact"/>
              <w:jc w:val="left"/>
            </w:pPr>
            <w:r>
              <w:t xml:space="preserve">Communication + rapport building</w:t>
            </w:r>
          </w:p>
        </w:tc>
      </w:tr>
      <w:tr>
        <w:tc>
          <w:tcPr/>
          <w:p>
            <w:pPr>
              <w:numPr>
                <w:ilvl w:val="0"/>
                <w:numId w:val="1018"/>
              </w:numPr>
              <w:pStyle w:val="Compact"/>
              <w:jc w:val="left"/>
            </w:pPr>
            <w:r>
              <w:t xml:space="preserve">Demystifying veterans’ crisis and alleviating responders bias and fear</w:t>
            </w:r>
          </w:p>
        </w:tc>
        <w:tc>
          <w:tcPr/>
          <w:p>
            <w:pPr>
              <w:numPr>
                <w:ilvl w:val="0"/>
                <w:numId w:val="1019"/>
              </w:numPr>
              <w:jc w:val="left"/>
            </w:pPr>
            <w:r>
              <w:t xml:space="preserve">Understanding the veteran’s experience in crisis</w:t>
            </w:r>
          </w:p>
          <w:p>
            <w:pPr>
              <w:numPr>
                <w:ilvl w:val="0"/>
                <w:numId w:val="1019"/>
              </w:numPr>
              <w:jc w:val="left"/>
            </w:pPr>
            <w:r>
              <w:t xml:space="preserve">Working with veterans – trauma informed responses</w:t>
            </w:r>
          </w:p>
          <w:p>
            <w:pPr>
              <w:numPr>
                <w:ilvl w:val="0"/>
                <w:numId w:val="1019"/>
              </w:numPr>
              <w:jc w:val="left"/>
            </w:pPr>
            <w:r>
              <w:t xml:space="preserve">Self-management, self-care, and when to seek back-up or support (on-scene, and in the aftermath)</w:t>
            </w:r>
          </w:p>
        </w:tc>
      </w:tr>
      <w:tr>
        <w:tc>
          <w:tcPr/>
          <w:p>
            <w:pPr>
              <w:numPr>
                <w:ilvl w:val="0"/>
                <w:numId w:val="1020"/>
              </w:numPr>
              <w:pStyle w:val="Compact"/>
              <w:jc w:val="left"/>
            </w:pPr>
            <w:r>
              <w:t xml:space="preserve">Understanding the military experience and language; understanding what it means to identity/loss of identity</w:t>
            </w:r>
          </w:p>
        </w:tc>
        <w:tc>
          <w:tcPr/>
          <w:p>
            <w:pPr>
              <w:numPr>
                <w:ilvl w:val="0"/>
                <w:numId w:val="1021"/>
              </w:numPr>
              <w:jc w:val="left"/>
            </w:pPr>
            <w:r>
              <w:t xml:space="preserve">Working with veterans – trauma informed responses</w:t>
            </w:r>
          </w:p>
          <w:p>
            <w:pPr>
              <w:numPr>
                <w:ilvl w:val="0"/>
                <w:numId w:val="1021"/>
              </w:numPr>
              <w:jc w:val="left"/>
            </w:pPr>
            <w:r>
              <w:t xml:space="preserve">Understanding the veteran’s experience in crisis</w:t>
            </w:r>
          </w:p>
          <w:p>
            <w:pPr>
              <w:numPr>
                <w:ilvl w:val="0"/>
                <w:numId w:val="1021"/>
              </w:numPr>
              <w:jc w:val="left"/>
            </w:pPr>
            <w:r>
              <w:t xml:space="preserve">Communication + rapport building</w:t>
            </w:r>
          </w:p>
        </w:tc>
      </w:tr>
      <w:tr>
        <w:tc>
          <w:tcPr/>
          <w:p>
            <w:pPr>
              <w:numPr>
                <w:ilvl w:val="0"/>
                <w:numId w:val="1022"/>
              </w:numPr>
              <w:pStyle w:val="Compact"/>
              <w:jc w:val="left"/>
            </w:pPr>
            <w:r>
              <w:t xml:space="preserve">Referral pathways and support services</w:t>
            </w:r>
          </w:p>
        </w:tc>
        <w:tc>
          <w:tcPr/>
          <w:p>
            <w:pPr>
              <w:numPr>
                <w:ilvl w:val="0"/>
                <w:numId w:val="1023"/>
              </w:numPr>
              <w:pStyle w:val="Compact"/>
              <w:jc w:val="left"/>
            </w:pPr>
            <w:r>
              <w:t xml:space="preserve">Education module on resources available</w:t>
            </w:r>
          </w:p>
        </w:tc>
      </w:tr>
      <w:tr>
        <w:tc>
          <w:tcPr/>
          <w:p>
            <w:pPr>
              <w:numPr>
                <w:ilvl w:val="0"/>
                <w:numId w:val="1024"/>
              </w:numPr>
              <w:pStyle w:val="Compact"/>
              <w:jc w:val="left"/>
            </w:pPr>
            <w:r>
              <w:t xml:space="preserve">Epidemiology of suicidality, normalising and de-stigmatising suicide crisis</w:t>
            </w:r>
          </w:p>
        </w:tc>
        <w:tc>
          <w:tcPr/>
          <w:p>
            <w:pPr>
              <w:pStyle w:val="Compact"/>
            </w:pPr>
          </w:p>
        </w:tc>
      </w:tr>
      <w:tr>
        <w:tc>
          <w:tcPr/>
          <w:p>
            <w:pPr>
              <w:numPr>
                <w:ilvl w:val="0"/>
                <w:numId w:val="1025"/>
              </w:numPr>
              <w:pStyle w:val="Compact"/>
              <w:jc w:val="left"/>
            </w:pPr>
            <w:r>
              <w:t xml:space="preserve">Promoting help seeking behaviours post crisis</w:t>
            </w:r>
          </w:p>
        </w:tc>
        <w:tc>
          <w:tcPr/>
          <w:p>
            <w:pPr>
              <w:numPr>
                <w:ilvl w:val="0"/>
                <w:numId w:val="1026"/>
              </w:numPr>
              <w:pStyle w:val="Compact"/>
              <w:jc w:val="left"/>
            </w:pPr>
            <w:r>
              <w:t xml:space="preserve">Education module on resources available</w:t>
            </w:r>
          </w:p>
        </w:tc>
      </w:tr>
    </w:tbl>
    <w:bookmarkStart w:id="36" w:name="recommendation-for-resources"/>
    <w:p>
      <w:pPr>
        <w:pStyle w:val="Heading4"/>
      </w:pPr>
      <w:r>
        <w:t xml:space="preserve">6.2.1.1 Recommendation for resources</w:t>
      </w:r>
    </w:p>
    <w:p>
      <w:pPr>
        <w:pStyle w:val="FirstParagraph"/>
      </w:pPr>
      <w:r>
        <w:t xml:space="preserve">Following the mapping above, the following resources have been identified for production:</w:t>
      </w:r>
    </w:p>
    <w:p>
      <w:pPr>
        <w:numPr>
          <w:ilvl w:val="0"/>
          <w:numId w:val="1027"/>
        </w:numPr>
      </w:pPr>
      <w:r>
        <w:t xml:space="preserve">Understanding the veteran’s experience in crisis (lived experience video)</w:t>
      </w:r>
    </w:p>
    <w:p>
      <w:pPr>
        <w:numPr>
          <w:ilvl w:val="0"/>
          <w:numId w:val="1027"/>
        </w:numPr>
      </w:pPr>
      <w:r>
        <w:t xml:space="preserve">Working with veterans – trauma informed responses (clinician/expert advice)</w:t>
      </w:r>
    </w:p>
    <w:p>
      <w:pPr>
        <w:numPr>
          <w:ilvl w:val="0"/>
          <w:numId w:val="1027"/>
        </w:numPr>
      </w:pPr>
      <w:r>
        <w:t xml:space="preserve">Communication + rapport building (skills, potentially by QPS)</w:t>
      </w:r>
    </w:p>
    <w:p>
      <w:pPr>
        <w:numPr>
          <w:ilvl w:val="0"/>
          <w:numId w:val="1027"/>
        </w:numPr>
      </w:pPr>
      <w:r>
        <w:t xml:space="preserve">Self-management, self-care, and when to seek support (Responder perspectives)</w:t>
      </w:r>
    </w:p>
    <w:p>
      <w:pPr>
        <w:numPr>
          <w:ilvl w:val="0"/>
          <w:numId w:val="1027"/>
        </w:numPr>
      </w:pPr>
      <w:r>
        <w:t xml:space="preserve">Referral pathways and promoting help seeking behaviours (text resources)</w:t>
      </w:r>
    </w:p>
    <w:bookmarkEnd w:id="36"/>
    <w:bookmarkEnd w:id="37"/>
    <w:bookmarkEnd w:id="38"/>
    <w:bookmarkStart w:id="39" w:name="proposed-consultation-and-timeline"/>
    <w:p>
      <w:pPr>
        <w:pStyle w:val="Heading2"/>
      </w:pPr>
      <w:r>
        <w:t xml:space="preserve">6.3 Proposed Consultation and Timeline</w:t>
      </w:r>
    </w:p>
    <w:p>
      <w:pPr>
        <w:pStyle w:val="FirstParagraph"/>
      </w:pPr>
      <w:r>
        <w:t xml:space="preserve">Text to go here</w:t>
      </w:r>
    </w:p>
    <w:bookmarkEnd w:id="39"/>
    <w:bookmarkEnd w:id="40"/>
    <w:bookmarkStart w:id="47" w:name="appendix---workshop-evaluation"/>
    <w:p>
      <w:pPr>
        <w:pStyle w:val="Heading1"/>
      </w:pPr>
      <w:r>
        <w:t xml:space="preserve">7. Appendix - Workshop Evaluation</w:t>
      </w:r>
    </w:p>
    <w:bookmarkStart w:id="41" w:name="rating-the-effectiveness-of-the-workshop"/>
    <w:p>
      <w:pPr>
        <w:pStyle w:val="Heading2"/>
      </w:pPr>
      <w:r>
        <w:t xml:space="preserve">7.1 Rating the effectiveness of the workshop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Questions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Strongly disagree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Somewhat disagree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Neither agree nor disagree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Somewhat agree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Strongly agree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was able to contribute effectively to the workshop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process was effective in generating draft learning objectives for the content of the education 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process was effective in generating draft video content ideas for the education 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This workshop was a valuable use of my skills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r>
    </w:tbl>
    <w:bookmarkEnd w:id="41"/>
    <w:bookmarkStart w:id="46" w:name="questions-about-process"/>
    <w:p>
      <w:pPr>
        <w:pStyle w:val="Heading2"/>
      </w:pPr>
      <w:r>
        <w:t xml:space="preserve">7.2 Questions about process</w:t>
      </w:r>
    </w:p>
    <w:bookmarkStart w:id="42" w:name="best"/>
    <w:p>
      <w:pPr>
        <w:pStyle w:val="Heading3"/>
      </w:pPr>
      <w:r>
        <w:t xml:space="preserve">7.2.1 Best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Comments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Collaborative approach</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Co-design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collaborative and collegial approach.</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Open communication with multiple perspectives and view points assessed.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Collaboration all had a voice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Collaborative approach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 produced output!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Sharing of research that mirrors the findings and direction of education within my organisation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collective conversation that was created.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use of the topic specific round table discussions gave us the opportunity to learn from each others expertise and to add our own experience of the issues under discussion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Diverse table groups so different perspectives were covered.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Inclusive multi faceted ability to contribute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discussion and gaining perspectives from everyone involved. Involving the right people in the process.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Discussions with, and the opportunity to hear from First Response and clinical sunkect mattee experts.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These occasions always lead to better informed outcomes that directly benefit persons in crisis. Sometimes the agencies can be siloed in our responses/actions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Diverse group of professionals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use of qualtronics to collect information.</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Very good mix of people per table</w:t>
            </w:r>
          </w:p>
        </w:tc>
      </w:tr>
    </w:tbl>
    <w:bookmarkEnd w:id="42"/>
    <w:bookmarkStart w:id="43" w:name="worst"/>
    <w:p>
      <w:pPr>
        <w:pStyle w:val="Heading3"/>
      </w:pPr>
      <w:r>
        <w:t xml:space="preserve">7.2.2 Worst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Comments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 gif off topic</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enough time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 like to have heard from, perhaps the ADF Pshcy present, or any other of the eminently qualified people, as to her input on how an ADF Vet in crisis is different or unique to anyone else in crisis and how to better deal with them</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Could have benefited from more time, but then again getting these people into the same room at the same time was a huge achievement!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When facilitating discussion as a group have clearly defined roles.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 are out of time to facilitate enough content for the videos.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enough time to unpack the specifics of the video content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Probably didn’t make full use of people’s experience - but that may come later with further collaboration.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 would have been good to understand why first responders are the focus of this intervention...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Have there been problems in how first responders respond, if so what?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There was nothing negative about the day.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would have liked more whole of room discussion</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time allocated for activities was not enough. An extra 20-30 minutes for each would have been appreciated.</w:t>
            </w:r>
          </w:p>
        </w:tc>
      </w:tr>
    </w:tbl>
    <w:bookmarkEnd w:id="43"/>
    <w:bookmarkStart w:id="44" w:name="changes"/>
    <w:p>
      <w:pPr>
        <w:pStyle w:val="Heading3"/>
      </w:pPr>
      <w:r>
        <w:t xml:space="preserve">7.2.3 Changes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Comments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Nope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 really valued havthe range of people and organizations here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Have people present with lived experience if available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 need more time to work on the content to ensure we capture the knowledge across the agencies.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it was well done and the right people were in the room.</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Perhaps a pre-survey for attendees to help spark/focus conversations.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bring Emergency Departments and Acute MH services into the conversation as important stakeholders.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it was a well organised event.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Being it was tailored to Defence, perhaps a short talk (or video) from an ADF lived experience person?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Invite some veterans 2. Get people to move tables to get greater cross-population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 change of tables/groups may have resulted in more collaboration across the entire attendance cohort.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more time for distillation and focusing of ideas could have been useful</w:t>
            </w:r>
          </w:p>
        </w:tc>
      </w:tr>
    </w:tbl>
    <w:bookmarkEnd w:id="44"/>
    <w:bookmarkStart w:id="45" w:name="other-thoughts-and-comments"/>
    <w:p>
      <w:pPr>
        <w:pStyle w:val="Heading3"/>
      </w:pPr>
      <w:r>
        <w:t xml:space="preserve">7.2.4 Other thoughts and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Thanks superstars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 done and many thanks to the organisers.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Need more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Thank you very much for the opportunity to attend!</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Wonderful opportunity to discuss these issues with all agencies in the room.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Congratulations to the team.</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 context setting in the morning, knew why we were here and what trying to achieve for the day.</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 workshop and valuable use of time</w:t>
            </w:r>
          </w:p>
        </w:tc>
      </w:tr>
    </w:tbl>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RESOURCES FOR FIRST RESPONDERS WHO ENGAGE WITH VETERANS’ EXPERIENCING SUICIDE CRISIS:</dc:title>
  <dc:creator/>
  <cp:keywords/>
  <dcterms:created xsi:type="dcterms:W3CDTF">2023-06-16T00:01:03Z</dcterms:created>
  <dcterms:modified xsi:type="dcterms:W3CDTF">2023-06-16T00:01:03Z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Outcomes of a co-design workshop and recommendations for resource development</vt:lpwstr>
  </property>
  <property fmtid="{D5CDD505-2E9C-101B-9397-08002B2CF9AE}" pid="9" name="toc-title">
    <vt:lpwstr>Table of contents</vt:lpwstr>
  </property>
</Properties>
</file>