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olor w:val="211C16"/>
          <w:sz w:val="34"/>
          <w:szCs w:val="34"/>
        </w:rPr>
        <w:t xml:space="preserve">Tietosuojaseloste ja GDPR-dokumentaatio</w:t>
      </w:r>
    </w:p>
    <w:p>
      <w:pPr>
        <w:spacing w:after="40" w:before="0"/>
      </w:pPr>
      <w:r>
        <w:rPr>
          <w:rFonts w:ascii="Arial" w:cs="Arial" w:eastAsia="Arial" w:hAnsi="Arial"/>
          <w:b w:val="false"/>
          <w:bCs w:val="false"/>
          <w:i w:val="false"/>
          <w:iCs w:val="false"/>
          <w:color w:val="5A5347"/>
          <w:sz w:val="22"/>
          <w:szCs w:val="22"/>
        </w:rPr>
        <w:t xml:space="preserve">Muotoilun pajojen turvallisuus- ja materiaalinhallintajärjestelmä (MHKS ja paja-ajokortti)</w:t>
      </w:r>
    </w:p>
    <w:p>
      <w:pPr>
        <w:spacing w:after="80" w:before="0"/>
      </w:pPr>
      <w:r>
        <w:rPr>
          <w:rFonts w:ascii="Arial" w:cs="Arial" w:eastAsia="Arial" w:hAnsi="Arial"/>
          <w:b w:val="false"/>
          <w:bCs w:val="false"/>
          <w:i w:val="false"/>
          <w:iCs w:val="false"/>
          <w:color w:val="5A5347"/>
          <w:sz w:val="16"/>
          <w:szCs w:val="16"/>
        </w:rPr>
        <w:t xml:space="preserve">LUONNOS tietosuojavastaavan ja IT:n käsittelyyn · Mika Ihanus · Muotoilun pajat, Arabian kampus · [päivämäärä]</w:t>
      </w:r>
    </w:p>
    <w:p>
      <w:pPr>
        <w:pBdr>
          <w:bottom w:val="single" w:color="211C16" w:sz="8" w:space="1"/>
        </w:pBd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E3F1B" w:sz="6"/>
              <w:left w:val="single" w:color="CE3F1B" w:sz="18"/>
              <w:bottom w:val="single" w:color="CE3F1B" w:sz="6"/>
              <w:right w:val="single" w:color="CE3F1B" w:sz="6"/>
            </w:tcBorders>
            <w:shd w:fill="FBEAE5" w:val="clear"/>
            <w:tcMar>
              <w:top w:type="dxa" w:w="90"/>
              <w:left w:type="dxa" w:w="140"/>
              <w:bottom w:type="dxa" w:w="90"/>
              <w:right w:type="dxa" w:w="120"/>
            </w:tcMar>
          </w:tcPr>
          <w:p>
            <w:pPr>
              <w:spacing w:after="0" w:before="0"/>
            </w:pPr>
            <w:r>
              <w:rPr>
                <w:rFonts w:ascii="Arial" w:cs="Arial" w:eastAsia="Arial" w:hAnsi="Arial"/>
                <w:b/>
                <w:bCs/>
                <w:i w:val="false"/>
                <w:iCs w:val="false"/>
                <w:color w:val="211C16"/>
                <w:sz w:val="20"/>
                <w:szCs w:val="20"/>
              </w:rPr>
              <w:t xml:space="preserve">Tämän dokumentin luonne. </w:t>
            </w:r>
            <w:r>
              <w:rPr>
                <w:rFonts w:ascii="Arial" w:cs="Arial" w:eastAsia="Arial" w:hAnsi="Arial"/>
                <w:b w:val="false"/>
                <w:bCs w:val="false"/>
                <w:i w:val="false"/>
                <w:iCs w:val="false"/>
                <w:color w:val="211C16"/>
                <w:sz w:val="20"/>
                <w:szCs w:val="20"/>
              </w:rPr>
              <w:t xml:space="preserve">Tämä on valmisteleva luonnos, ei valmis viranomaisdokumentti eikä oikeudellinen arvio. Rekisterinpitäjä on Metropolia, ei järjestelmän kehittäjä. Dokumentti on tarkoitettu keskustelun pohjaksi tietosuojavastaavan ja tietohallinnon kanssa, ja se on tarkistettava ja hyväksytettävä ennen kuin järjestelmää käytetään oikeilla henkilötiedoilla. Hakasulkeissa olevat kohdat täydentää Metropolia.</w:t>
            </w:r>
          </w:p>
        </w:tc>
      </w:tr>
    </w:tbl>
    <w:p>
      <w:pPr>
        <w:spacing w:after="60" w:before="0"/>
      </w:pPr>
      <w:r>
        <w:rPr>
          <w:rFonts w:ascii="Arial" w:cs="Arial" w:eastAsia="Arial" w:hAnsi="Arial"/>
          <w:b w:val="false"/>
          <w:bCs w:val="false"/>
          <w:i w:val="false"/>
          <w:iCs w:val="false"/>
          <w:color w:val="211C16"/>
          <w:sz w:val="20"/>
          <w:szCs w:val="20"/>
        </w:rPr>
        <w:t xml:space="preserve"/>
      </w:r>
    </w:p>
    <w:p>
      <w:pPr>
        <w:pStyle w:val="Heading1"/>
        <w:spacing w:after="110" w:before="260"/>
      </w:pPr>
      <w:r>
        <w:rPr>
          <w:rFonts w:ascii="Arial" w:cs="Arial" w:eastAsia="Arial" w:hAnsi="Arial"/>
          <w:b/>
          <w:bCs/>
          <w:color w:val="211C16"/>
          <w:sz w:val="26"/>
          <w:szCs w:val="26"/>
        </w:rPr>
        <w:t xml:space="preserve">1. Tarkoitus ja tausta</w:t>
      </w:r>
    </w:p>
    <w:p>
      <w:pPr>
        <w:spacing w:after="110" w:before="0"/>
      </w:pPr>
      <w:r>
        <w:rPr>
          <w:rFonts w:ascii="Arial" w:cs="Arial" w:eastAsia="Arial" w:hAnsi="Arial"/>
          <w:b w:val="false"/>
          <w:bCs w:val="false"/>
          <w:i w:val="false"/>
          <w:iCs w:val="false"/>
          <w:color w:val="211C16"/>
          <w:sz w:val="20"/>
          <w:szCs w:val="20"/>
        </w:rPr>
        <w:t xml:space="preserve">Muotoilun pajoissa on kehitteillä järjestelmäkokonaisuus, joka koostuu turvallisuusperehdytyksestä ja paja-ajokortista, materiaali- ja kustannushallinnasta (MHKS), kemikaalirekisteristä sekä poikkeamien käsittelystä. Tavoite on täyttää työturvallisuuslain velvoitteet, tehdä pajojen toiminta läpinäkyväksi ja mahdollistaa opiskelijan turvallinen itsenäinen työskentely.</w:t>
      </w:r>
    </w:p>
    <w:p>
      <w:pPr>
        <w:spacing w:after="110" w:before="0"/>
      </w:pPr>
      <w:r>
        <w:rPr>
          <w:rFonts w:ascii="Arial" w:cs="Arial" w:eastAsia="Arial" w:hAnsi="Arial"/>
          <w:b w:val="false"/>
          <w:bCs w:val="false"/>
          <w:i w:val="false"/>
          <w:iCs w:val="false"/>
          <w:color w:val="211C16"/>
          <w:sz w:val="20"/>
          <w:szCs w:val="20"/>
        </w:rPr>
        <w:t xml:space="preserve">Järjestelmä käsittelee henkilötietoja, minkä vuoksi käsittelyn perusteet, sijainti, säilytysajat ja suojatoimet on määriteltävä ennen käyttöönottoa.</w:t>
      </w:r>
    </w:p>
    <w:p>
      <w:pPr>
        <w:pStyle w:val="Heading1"/>
        <w:spacing w:after="110" w:before="260"/>
      </w:pPr>
      <w:r>
        <w:rPr>
          <w:rFonts w:ascii="Arial" w:cs="Arial" w:eastAsia="Arial" w:hAnsi="Arial"/>
          <w:b/>
          <w:bCs/>
          <w:color w:val="211C16"/>
          <w:sz w:val="26"/>
          <w:szCs w:val="26"/>
        </w:rPr>
        <w:t xml:space="preserve">2. Rekisterinpitäjä ja vastuut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Rooli</w:t>
            </w:r>
          </w:p>
        </w:tc>
        <w:tc>
          <w:tcPr>
            <w:tcW w:type="dxa" w:w="7146"/>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Taho ja vastuu</w:t>
            </w:r>
          </w:p>
        </w:tc>
      </w:tr>
      <w:tr>
        <w:tc>
          <w:tcPr>
            <w:tcW w:type="dxa" w:w="26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Rekisterinpitäjä</w:t>
            </w:r>
          </w:p>
        </w:tc>
        <w:tc>
          <w:tcPr>
            <w:tcW w:type="dxa" w:w="71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Metropolia Ammattikorkeakoulu Oy. Määrittää käsittelyn tarkoitukset ja keinot sekä vastaa lainmukaisuudesta.</w:t>
            </w:r>
          </w:p>
        </w:tc>
      </w:tr>
      <w:tr>
        <w:tc>
          <w:tcPr>
            <w:tcW w:type="dxa" w:w="26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Tietosuojavastaava</w:t>
            </w:r>
          </w:p>
        </w:tc>
        <w:tc>
          <w:tcPr>
            <w:tcW w:type="dxa" w:w="71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[Metropolian tietosuojavastaava] — valvonta, neuvonta, DPIA:n arviointi.</w:t>
            </w:r>
          </w:p>
        </w:tc>
      </w:tr>
      <w:tr>
        <w:tc>
          <w:tcPr>
            <w:tcW w:type="dxa" w:w="26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Järjestelmän omistaja</w:t>
            </w:r>
          </w:p>
        </w:tc>
        <w:tc>
          <w:tcPr>
            <w:tcW w:type="dxa" w:w="71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[nimettävä] — vastaa siitä, että järjestelmää käytetään ohjeiden mukaisesti.</w:t>
            </w:r>
          </w:p>
        </w:tc>
      </w:tr>
      <w:tr>
        <w:tc>
          <w:tcPr>
            <w:tcW w:type="dxa" w:w="26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Käsittelijä (tekninen)</w:t>
            </w:r>
          </w:p>
        </w:tc>
        <w:tc>
          <w:tcPr>
            <w:tcW w:type="dxa" w:w="71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Lehtori ja pajamestarit käsittelevät tietoja työtehtävissään rekisterinpitäjän lukuun ja ohjeistuksen mukaisesti.</w:t>
            </w:r>
          </w:p>
        </w:tc>
      </w:tr>
      <w:tr>
        <w:tc>
          <w:tcPr>
            <w:tcW w:type="dxa" w:w="26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Henkilötietojen käsittelijä (toimittaja)</w:t>
            </w:r>
          </w:p>
        </w:tc>
        <w:tc>
          <w:tcPr>
            <w:tcW w:type="dxa" w:w="71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[PRO24 / SK Protect Oy ja muut palveluntarjoajat] — edellyttää käsittelysopimusta (GDPR 28 art.).</w:t>
            </w:r>
          </w:p>
        </w:tc>
      </w:tr>
    </w:tbl>
    <w:p>
      <w:pPr>
        <w:pStyle w:val="Heading1"/>
        <w:spacing w:after="110" w:before="260"/>
      </w:pPr>
      <w:r>
        <w:rPr>
          <w:rFonts w:ascii="Arial" w:cs="Arial" w:eastAsia="Arial" w:hAnsi="Arial"/>
          <w:b/>
          <w:bCs/>
          <w:color w:val="211C16"/>
          <w:sz w:val="26"/>
          <w:szCs w:val="26"/>
        </w:rPr>
        <w:t xml:space="preserve">3. Käsittelyn tarkoitukset ja oikeusperusteet</w:t>
      </w:r>
    </w:p>
    <w:p>
      <w:pPr>
        <w:spacing w:after="110" w:before="0"/>
      </w:pPr>
      <w:r>
        <w:rPr>
          <w:rFonts w:ascii="Arial" w:cs="Arial" w:eastAsia="Arial" w:hAnsi="Arial"/>
          <w:b w:val="false"/>
          <w:bCs w:val="false"/>
          <w:i/>
          <w:iCs/>
          <w:color w:val="5A5347"/>
          <w:sz w:val="18"/>
          <w:szCs w:val="18"/>
        </w:rPr>
        <w:t xml:space="preserve">Suositus: turvallisuustietojen perusteena ei käytetä suostumusta, koska opiskelija on oppilaitokseen nähden riippuvuussuhteessa eikä suostumus ole tällöin vapaaehtoinen. Valokuvien osalta suostumus on oikea peruste ja siitä on voitava kieltäytyä ilman seurauksia.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3246"/>
      </w:tblGrid>
      <w:tr>
        <w:tc>
          <w:tcPr>
            <w:tcW w:type="dxa" w:w="31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Tarkoitus</w:t>
            </w:r>
          </w:p>
        </w:tc>
        <w:tc>
          <w:tcPr>
            <w:tcW w:type="dxa" w:w="34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Oikeusperuste (GDPR 6 art.)</w:t>
            </w:r>
          </w:p>
        </w:tc>
        <w:tc>
          <w:tcPr>
            <w:tcW w:type="dxa" w:w="3246"/>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Huomiot</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Työturvallisuus: perehdytys, työlupa, paja-ajokortti, konekohtaiset luvat</w:t>
            </w:r>
          </w:p>
        </w:tc>
        <w:tc>
          <w:tcPr>
            <w:tcW w:type="dxa" w:w="3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Lakisääteinen velvoite (1 c) — työturvallisuuslaki 738/2002</w:t>
            </w:r>
          </w:p>
        </w:tc>
        <w:tc>
          <w:tcPr>
            <w:tcW w:type="dxa" w:w="32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Työnantajan on varmistettava riittävä perehdytys ja valvottava turvallista työskentelyä.</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Kemikaaliturvallisuus: kemikaaliluettelo, käyttöturvallisuustiedotteet, altistumisen seuranta</w:t>
            </w:r>
          </w:p>
        </w:tc>
        <w:tc>
          <w:tcPr>
            <w:tcW w:type="dxa" w:w="3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Lakisääteinen velvoite (1 c) — VNa 715/2001, ASA-laki 452/2020</w:t>
            </w:r>
          </w:p>
        </w:tc>
        <w:tc>
          <w:tcPr>
            <w:tcW w:type="dxa" w:w="32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ASA-rekisteri koskee syöpävaarallisille aineille altistuvia.</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Poikkeamat ja läheltä piti -ilmoitukset</w:t>
            </w:r>
          </w:p>
        </w:tc>
        <w:tc>
          <w:tcPr>
            <w:tcW w:type="dxa" w:w="3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Lakisääteinen velvoite (1 c) ja oikeutettu etu (1 f)</w:t>
            </w:r>
          </w:p>
        </w:tc>
        <w:tc>
          <w:tcPr>
            <w:tcW w:type="dxa" w:w="32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Turvallisuuden kehittäminen ja tapahtumien selvittäminen.</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Opetuksen järjestäminen: läsnäolo, tehtävien eteneminen, arviointi</w:t>
            </w:r>
          </w:p>
        </w:tc>
        <w:tc>
          <w:tcPr>
            <w:tcW w:type="dxa" w:w="3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Yleinen etu / julkinen tehtävä (1 e) — ammattikorkeakoululaki</w:t>
            </w:r>
          </w:p>
        </w:tc>
        <w:tc>
          <w:tcPr>
            <w:tcW w:type="dxa" w:w="32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Virallinen arviointi tehdään Metropolian omassa opintotietojärjestelmässä.</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Materiaalikustannukset ja laskutus</w:t>
            </w:r>
          </w:p>
        </w:tc>
        <w:tc>
          <w:tcPr>
            <w:tcW w:type="dxa" w:w="3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Sopimus (1 b) ja lakisääteinen velvoite (1 c, kirjanpito)</w:t>
            </w:r>
          </w:p>
        </w:tc>
        <w:tc>
          <w:tcPr>
            <w:tcW w:type="dxa" w:w="32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Kurssitöitä ei laskuteta; omat projektit laskutetaan sääntöjen mukaan.</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Valokuvat (ryhmäkuva, tunnistautumiskuva)</w:t>
            </w:r>
          </w:p>
        </w:tc>
        <w:tc>
          <w:tcPr>
            <w:tcW w:type="dxa" w:w="3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Suostumus (1 a)</w:t>
            </w:r>
          </w:p>
        </w:tc>
        <w:tc>
          <w:tcPr>
            <w:tcW w:type="dxa" w:w="32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Vapaaehtoinen. Kieltäytyminen ei vaikuta opintoihin. Suostumus peruttavissa.</w:t>
            </w:r>
          </w:p>
        </w:tc>
      </w:tr>
    </w:tbl>
    <w:p>
      <w:r>
        <w:br w:type="page"/>
      </w:r>
    </w:p>
    <w:p>
      <w:pPr>
        <w:pStyle w:val="Heading1"/>
        <w:spacing w:after="110" w:before="260"/>
      </w:pPr>
      <w:r>
        <w:rPr>
          <w:rFonts w:ascii="Arial" w:cs="Arial" w:eastAsia="Arial" w:hAnsi="Arial"/>
          <w:b/>
          <w:bCs/>
          <w:color w:val="211C16"/>
          <w:sz w:val="26"/>
          <w:szCs w:val="26"/>
        </w:rPr>
        <w:t xml:space="preserve">4. Käsiteltävät henkilötiedot ja säilytysajat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00"/>
        <w:gridCol w:w="3500"/>
        <w:gridCol w:w="3346"/>
      </w:tblGrid>
      <w:tr>
        <w:tc>
          <w:tcPr>
            <w:tcW w:type="dxa" w:w="29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Tietoryhmä</w:t>
            </w:r>
          </w:p>
        </w:tc>
        <w:tc>
          <w:tcPr>
            <w:tcW w:type="dxa" w:w="35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Tiedot</w:t>
            </w:r>
          </w:p>
        </w:tc>
        <w:tc>
          <w:tcPr>
            <w:tcW w:type="dxa" w:w="3346"/>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Säilytysaika (ehdotus)</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Perustiedot</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Nimi, opiskelijanumero, ryhmä, Metropolian sähköpostiosoite, rooli</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Opintojen ajan + [X] kk</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Turvallisuus</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Perehdytyksen suoritus, työluvan allekirjoitus, paja-ajokortit ja tasot, kuittaajan nimikirjaimet</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Voimassaoloaika + työturvallisuuden edellyttämä aika, ehdotus [10] v</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Kemikaalialtistuminen</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Käytetyt aineet ja ASA-merkinnät</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ASA-lain mukainen pitkä säilytys — [vahvistettava]</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Poikkeamat</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Ilmoituksen sisältö, ilmoittaja, vastaukset ja päätökset</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Ehdotus [10] v tapahtumasta</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Opetus</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Läsnäolo, tehtävien tila, arviointimerkinnät, esseet</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Kurssin ja oikaisuvaatimusajan ajan, ehdotus [6] kk kurssin päättymisestä</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Kuormitustieto</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Kognitiivisen kuorman merkinnät (vihreä/keltainen/punainen)</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Lyhyt, ehdotus [3] kk — ei koskaan rangaistuskäyttöön</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Talous</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Materiaalitapahtumat, hinnat, laskutustiedot</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Kirjanpitolain mukaisesti 6 v</w:t>
            </w:r>
          </w:p>
        </w:tc>
      </w:tr>
      <w:tr>
        <w:tc>
          <w:tcPr>
            <w:tcW w:type="dxa" w:w="29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Valokuvat</w:t>
            </w:r>
          </w:p>
        </w:tc>
        <w:tc>
          <w:tcPr>
            <w:tcW w:type="dxa" w:w="3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Kasvokuva ryhmänäkymään</w:t>
            </w:r>
          </w:p>
        </w:tc>
        <w:tc>
          <w:tcPr>
            <w:tcW w:type="dxa" w:w="33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Opintojen ajan tai suostumuksen peruuttamiseen asti</w:t>
            </w:r>
          </w:p>
        </w:tc>
      </w:tr>
    </w:tbl>
    <w:p>
      <w:pPr>
        <w:spacing w:after="110" w:before="0"/>
      </w:pPr>
      <w:r>
        <w:rPr>
          <w:rFonts w:ascii="Arial" w:cs="Arial" w:eastAsia="Arial" w:hAnsi="Arial"/>
          <w:b w:val="false"/>
          <w:bCs w:val="false"/>
          <w:i w:val="false"/>
          <w:iCs w:val="false"/>
          <w:color w:val="5A5347"/>
          <w:sz w:val="18"/>
          <w:szCs w:val="18"/>
        </w:rPr>
        <w:t xml:space="preserve">Erityisiä henkilötietoryhmiä (GDPR 9 art.) ei kerätä. Terveystietoja ei käsitellä. Kuormitusmerkintä on itsearviointi tai ohjaajan havainto työn sujumisesta, ei terveydentilan arvio — tämä rajaus on kirjattava ja pidettävä.</w:t>
      </w:r>
    </w:p>
    <w:p>
      <w:pPr>
        <w:pStyle w:val="Heading1"/>
        <w:spacing w:after="110" w:before="260"/>
      </w:pPr>
      <w:r>
        <w:rPr>
          <w:rFonts w:ascii="Arial" w:cs="Arial" w:eastAsia="Arial" w:hAnsi="Arial"/>
          <w:b/>
          <w:bCs/>
          <w:color w:val="211C16"/>
          <w:sz w:val="26"/>
          <w:szCs w:val="26"/>
        </w:rPr>
        <w:t xml:space="preserve">5. Tietolähteet, luovutukset ja järjestelmien työnjako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6646"/>
      </w:tblGrid>
      <w:tr>
        <w:tc>
          <w:tcPr>
            <w:tcW w:type="dxa" w:w="31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Järjestelmä</w:t>
            </w:r>
          </w:p>
        </w:tc>
        <w:tc>
          <w:tcPr>
            <w:tcW w:type="dxa" w:w="6646"/>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Rooli tietovirrassa</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Moodle</w:t>
            </w:r>
          </w:p>
        </w:tc>
        <w:tc>
          <w:tcPr>
            <w:tcW w:type="dxa" w:w="66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Tunnistautuminen ja perehdytyksen suoritusmerkintä (SCORM). Tiedot pysyvät Metropolian ympäristössä.</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Peppi</w:t>
            </w:r>
          </w:p>
        </w:tc>
        <w:tc>
          <w:tcPr>
            <w:tcW w:type="dxa" w:w="66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Opiskelija-, kurssi- ja suoritustiedot. Luetaan rajapinnan kautta; ei kopioida omaan rekisteriin.</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PRO24 (SK Protect Oy)</w:t>
            </w:r>
          </w:p>
        </w:tc>
        <w:tc>
          <w:tcPr>
            <w:tcW w:type="dxa" w:w="66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Virallinen kemikaalirekisteri ja käyttöturvallisuustiedotteet. Edellyttää käsittelysopimusta.</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Metropolian M365 / SharePoint</w:t>
            </w:r>
          </w:p>
        </w:tc>
        <w:tc>
          <w:tcPr>
            <w:tcW w:type="dxa" w:w="66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Ajokorttirekisterin ja muiden tietojen tallennuspaikka.</w:t>
            </w:r>
          </w:p>
        </w:tc>
      </w:tr>
      <w:tr>
        <w:tc>
          <w:tcPr>
            <w:tcW w:type="dxa" w:w="31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Haka</w:t>
            </w:r>
          </w:p>
        </w:tc>
        <w:tc>
          <w:tcPr>
            <w:tcW w:type="dxa" w:w="66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Tunnistautuminen tuotantovaiheessa.</w:t>
            </w:r>
          </w:p>
        </w:tc>
      </w:tr>
    </w:tbl>
    <w:p>
      <w:pPr>
        <w:spacing w:after="110" w:before="0"/>
      </w:pPr>
      <w:r>
        <w:rPr>
          <w:rFonts w:ascii="Arial" w:cs="Arial" w:eastAsia="Arial" w:hAnsi="Arial"/>
          <w:b w:val="false"/>
          <w:bCs w:val="false"/>
          <w:i w:val="false"/>
          <w:iCs w:val="false"/>
          <w:color w:val="211C16"/>
          <w:sz w:val="20"/>
          <w:szCs w:val="20"/>
        </w:rPr>
        <w:t xml:space="preserve">Tietoja ei luovuteta ulkopuolisille muutoin kuin lakisääteisissä tilanteissa (esim. työsuojeluviranomainen). Tietoja ei siirretä EU- tai ETA-alueen ulkopuolelle. Järjestelmä ei käytä ulkopuolisia analytiikka- tai mainospalveluita.</w:t>
      </w:r>
    </w:p>
    <w:p>
      <w:pPr>
        <w:pStyle w:val="Heading1"/>
        <w:spacing w:after="110" w:before="260"/>
      </w:pPr>
      <w:r>
        <w:rPr>
          <w:rFonts w:ascii="Arial" w:cs="Arial" w:eastAsia="Arial" w:hAnsi="Arial"/>
          <w:b/>
          <w:bCs/>
          <w:color w:val="211C16"/>
          <w:sz w:val="26"/>
          <w:szCs w:val="26"/>
        </w:rPr>
        <w:t xml:space="preserve">6. Tietojen sijainti</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Kaikki henkilötiedot sijaitsevat Metropolian hallinnoimissa järjestelmissä EU-alueella.</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Ulos vietävä IKM-muotoinen data on pseudonyymiä eikä sisällä nimiä.</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Selainpohjainen paikallinen tallennus (localStorage) ei ole hyväksyttävä tuotantoratkaisu henkilötiedoille. Ks. luku 9.</w:t>
      </w:r>
    </w:p>
    <w:p>
      <w:pPr>
        <w:pStyle w:val="Heading1"/>
        <w:spacing w:after="110" w:before="260"/>
      </w:pPr>
      <w:r>
        <w:rPr>
          <w:rFonts w:ascii="Arial" w:cs="Arial" w:eastAsia="Arial" w:hAnsi="Arial"/>
          <w:b/>
          <w:bCs/>
          <w:color w:val="211C16"/>
          <w:sz w:val="26"/>
          <w:szCs w:val="26"/>
        </w:rPr>
        <w:t xml:space="preserve">7. Rekisteröidyn oikeudet</w:t>
      </w:r>
    </w:p>
    <w:p>
      <w:pPr>
        <w:spacing w:after="110" w:before="0"/>
      </w:pPr>
      <w:r>
        <w:rPr>
          <w:rFonts w:ascii="Arial" w:cs="Arial" w:eastAsia="Arial" w:hAnsi="Arial"/>
          <w:b w:val="false"/>
          <w:bCs w:val="false"/>
          <w:i w:val="false"/>
          <w:iCs w:val="false"/>
          <w:color w:val="211C16"/>
          <w:sz w:val="20"/>
          <w:szCs w:val="20"/>
        </w:rPr>
        <w:t xml:space="preserve">Opiskelijalla ja henkilökunnalla on oikeus saada tietoa käsittelystä, tarkastaa omat tietonsa, vaatia oikaisua, rajoittaa käsittelyä sekä tehdä valitus tietosuojavaltuutetulle. Poisto-oikeus ei koske tietoja, joita on säilytettävä lakisääteisen velvoitteen vuoksi (esim. turvallisuus- ja kemikaalitiedot). Suostumukseen perustuvat tiedot, kuten valokuvat, poistetaan pyynnöstä.</w:t>
      </w:r>
    </w:p>
    <w:p>
      <w:pPr>
        <w:spacing w:after="110" w:before="0"/>
      </w:pPr>
      <w:r>
        <w:rPr>
          <w:rFonts w:ascii="Arial" w:cs="Arial" w:eastAsia="Arial" w:hAnsi="Arial"/>
          <w:b w:val="false"/>
          <w:bCs w:val="false"/>
          <w:i w:val="false"/>
          <w:iCs w:val="false"/>
          <w:color w:val="211C16"/>
          <w:sz w:val="20"/>
          <w:szCs w:val="20"/>
        </w:rPr>
        <w:t xml:space="preserve">Pyynnöt ohjataan Metropolian normaalin tietosuojaprosessin kautta: [yhteystieto].</w:t>
      </w:r>
    </w:p>
    <w:p>
      <w:pPr>
        <w:pStyle w:val="Heading1"/>
        <w:spacing w:after="110" w:before="260"/>
      </w:pPr>
      <w:r>
        <w:rPr>
          <w:rFonts w:ascii="Arial" w:cs="Arial" w:eastAsia="Arial" w:hAnsi="Arial"/>
          <w:b/>
          <w:bCs/>
          <w:color w:val="211C16"/>
          <w:sz w:val="26"/>
          <w:szCs w:val="26"/>
        </w:rPr>
        <w:t xml:space="preserve">8. Suojatoimet</w:t>
      </w:r>
    </w:p>
    <w:p>
      <w:pPr>
        <w:pStyle w:val="Heading2"/>
        <w:spacing w:after="80" w:before="180"/>
      </w:pPr>
      <w:r>
        <w:rPr>
          <w:rFonts w:ascii="Arial" w:cs="Arial" w:eastAsia="Arial" w:hAnsi="Arial"/>
          <w:b/>
          <w:bCs/>
          <w:color w:val="211C16"/>
          <w:sz w:val="22"/>
          <w:szCs w:val="22"/>
        </w:rPr>
        <w:t xml:space="preserve">Tekniset</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Tunnistautuminen Metropolian tunnuksilla (Moodle/Haka); ei erillisiä salasanoja tai tunnuslukuja tuotannossa.</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Roolipohjaiset käyttöoikeudet: opiskelija näkee vain omat tietonsa.</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Salattu yhteys (HTTPS) ja tietojen tallennus Metropolian ympäristöön.</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Pseudonyymiys ulos vietävässä datassa; nimet vain sisäisessä rekisterissä.</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Muuttumaton tapahtumaloki turvallisuuspäätöksistä (kuka kuittasi, milloin).</w:t>
      </w:r>
    </w:p>
    <w:p>
      <w:pPr>
        <w:pStyle w:val="Heading2"/>
        <w:spacing w:after="80" w:before="180"/>
      </w:pPr>
      <w:r>
        <w:rPr>
          <w:rFonts w:ascii="Arial" w:cs="Arial" w:eastAsia="Arial" w:hAnsi="Arial"/>
          <w:b/>
          <w:bCs/>
          <w:color w:val="211C16"/>
          <w:sz w:val="22"/>
          <w:szCs w:val="22"/>
        </w:rPr>
        <w:t xml:space="preserve">Organisatoriset</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Käsittelijöiden ohjeistus ja vaitiolovelvollisuus.</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Tietojen minimointi: kerätään vain se, mitä turvallisuus ja opetus edellyttävät.</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Kuormitustietoa ei käytetä kurinpitoon eikä arviointiin; johdon näkymät ovat koosteita.</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Säännölliset säilytysaikojen tarkistukset ja poistot.</w:t>
      </w:r>
    </w:p>
    <w:p>
      <w:r>
        <w:br w:type="page"/>
      </w:r>
    </w:p>
    <w:p>
      <w:pPr>
        <w:pStyle w:val="Heading1"/>
        <w:spacing w:after="110" w:before="260"/>
      </w:pPr>
      <w:r>
        <w:rPr>
          <w:rFonts w:ascii="Arial" w:cs="Arial" w:eastAsia="Arial" w:hAnsi="Arial"/>
          <w:b/>
          <w:bCs/>
          <w:color w:val="211C16"/>
          <w:sz w:val="26"/>
          <w:szCs w:val="26"/>
        </w:rPr>
        <w:t xml:space="preserve">9. Vaikutustenarviointi (DPIA) — esiarvio</w:t>
      </w:r>
    </w:p>
    <w:p>
      <w:pPr>
        <w:spacing w:after="110" w:before="0"/>
      </w:pPr>
      <w:r>
        <w:rPr>
          <w:rFonts w:ascii="Arial" w:cs="Arial" w:eastAsia="Arial" w:hAnsi="Arial"/>
          <w:b w:val="false"/>
          <w:bCs w:val="false"/>
          <w:i w:val="false"/>
          <w:iCs w:val="false"/>
          <w:color w:val="211C16"/>
          <w:sz w:val="20"/>
          <w:szCs w:val="20"/>
        </w:rPr>
        <w:t xml:space="preserve">GDPR 35 artikla edellyttää vaikutustenarviointia, kun käsittely todennäköisesti aiheuttaa korkean riskin. Arvioidut kriteerit: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400"/>
        <w:gridCol w:w="1500"/>
        <w:gridCol w:w="2846"/>
      </w:tblGrid>
      <w:tr>
        <w:tc>
          <w:tcPr>
            <w:tcW w:type="dxa" w:w="54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Kriteeri</w:t>
            </w:r>
          </w:p>
        </w:tc>
        <w:tc>
          <w:tcPr>
            <w:tcW w:type="dxa" w:w="1500"/>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Täyttyy</w:t>
            </w:r>
          </w:p>
        </w:tc>
        <w:tc>
          <w:tcPr>
            <w:tcW w:type="dxa" w:w="2846"/>
            <w:tcBorders>
              <w:top w:val="single" w:color="C8BFAD" w:sz="1"/>
              <w:left w:val="single" w:color="C8BFAD" w:sz="1"/>
              <w:bottom w:val="single" w:color="C8BFAD" w:sz="1"/>
              <w:right w:val="single" w:color="C8BFAD" w:sz="1"/>
            </w:tcBorders>
            <w:shd w:fill="EDE7DA" w:val="clear"/>
            <w:tcMar>
              <w:top w:type="dxa" w:w="50"/>
              <w:left w:type="dxa" w:w="90"/>
              <w:bottom w:type="dxa" w:w="50"/>
              <w:right w:type="dxa" w:w="90"/>
            </w:tcMar>
            <w:vAlign w:val="top"/>
          </w:tcPr>
          <w:p>
            <w:r>
              <w:rPr>
                <w:rFonts w:ascii="Arial" w:cs="Arial" w:eastAsia="Arial" w:hAnsi="Arial"/>
                <w:b/>
                <w:bCs/>
                <w:color w:val="211C16"/>
                <w:sz w:val="17"/>
                <w:szCs w:val="17"/>
              </w:rPr>
              <w:t xml:space="preserve">Perustelu</w:t>
            </w:r>
          </w:p>
        </w:tc>
      </w:tr>
      <w:tr>
        <w:tc>
          <w:tcPr>
            <w:tcW w:type="dxa" w:w="5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Haavoittuvassa asemassa olevat rekisteröidyt</w:t>
            </w:r>
          </w:p>
        </w:tc>
        <w:tc>
          <w:tcPr>
            <w:tcW w:type="dxa" w:w="1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Kyllä</w:t>
            </w:r>
          </w:p>
        </w:tc>
        <w:tc>
          <w:tcPr>
            <w:tcW w:type="dxa" w:w="28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Opiskelijat ovat riippuvuussuhteessa oppilaitokseen ja opettajaan.</w:t>
            </w:r>
          </w:p>
        </w:tc>
      </w:tr>
      <w:tr>
        <w:tc>
          <w:tcPr>
            <w:tcW w:type="dxa" w:w="5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Järjestelmällinen ja laaja seuranta</w:t>
            </w:r>
          </w:p>
        </w:tc>
        <w:tc>
          <w:tcPr>
            <w:tcW w:type="dxa" w:w="1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Osin</w:t>
            </w:r>
          </w:p>
        </w:tc>
        <w:tc>
          <w:tcPr>
            <w:tcW w:type="dxa" w:w="28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Läsnäolo, tehtävät, kuormitus ja tilankäyttö yhdessä.</w:t>
            </w:r>
          </w:p>
        </w:tc>
      </w:tr>
      <w:tr>
        <w:tc>
          <w:tcPr>
            <w:tcW w:type="dxa" w:w="5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Tietojen yhdistäminen useista lähteistä</w:t>
            </w:r>
          </w:p>
        </w:tc>
        <w:tc>
          <w:tcPr>
            <w:tcW w:type="dxa" w:w="1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Kyllä</w:t>
            </w:r>
          </w:p>
        </w:tc>
        <w:tc>
          <w:tcPr>
            <w:tcW w:type="dxa" w:w="28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Moodle, Peppi, PRO24 ja oma järjestelmä.</w:t>
            </w:r>
          </w:p>
        </w:tc>
      </w:tr>
      <w:tr>
        <w:tc>
          <w:tcPr>
            <w:tcW w:type="dxa" w:w="5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Arviointi tai pisteytys</w:t>
            </w:r>
          </w:p>
        </w:tc>
        <w:tc>
          <w:tcPr>
            <w:tcW w:type="dxa" w:w="1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Kyllä</w:t>
            </w:r>
          </w:p>
        </w:tc>
        <w:tc>
          <w:tcPr>
            <w:tcW w:type="dxa" w:w="28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Arvosana muodostuu automaattisesti painotetuista osista.</w:t>
            </w:r>
          </w:p>
        </w:tc>
      </w:tr>
      <w:tr>
        <w:tc>
          <w:tcPr>
            <w:tcW w:type="dxa" w:w="5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Uuden teknologian käyttö</w:t>
            </w:r>
          </w:p>
        </w:tc>
        <w:tc>
          <w:tcPr>
            <w:tcW w:type="dxa" w:w="1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Osin</w:t>
            </w:r>
          </w:p>
        </w:tc>
        <w:tc>
          <w:tcPr>
            <w:tcW w:type="dxa" w:w="28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Kuormitusmallinnus on uusi lähestymistapa opetuksessa.</w:t>
            </w:r>
          </w:p>
        </w:tc>
      </w:tr>
      <w:tr>
        <w:tc>
          <w:tcPr>
            <w:tcW w:type="dxa" w:w="54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Biometriset tiedot</w:t>
            </w:r>
          </w:p>
        </w:tc>
        <w:tc>
          <w:tcPr>
            <w:tcW w:type="dxa" w:w="1500"/>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Ei</w:t>
            </w:r>
          </w:p>
        </w:tc>
        <w:tc>
          <w:tcPr>
            <w:tcW w:type="dxa" w:w="2846"/>
            <w:tcBorders>
              <w:top w:val="single" w:color="C8BFAD" w:sz="1"/>
              <w:left w:val="single" w:color="C8BFAD" w:sz="1"/>
              <w:bottom w:val="single" w:color="C8BFAD" w:sz="1"/>
              <w:right w:val="single" w:color="C8BFAD" w:sz="1"/>
            </w:tcBorders>
            <w:tcMar>
              <w:top w:type="dxa" w:w="50"/>
              <w:left w:type="dxa" w:w="90"/>
              <w:bottom w:type="dxa" w:w="50"/>
              <w:right w:type="dxa" w:w="90"/>
            </w:tcMar>
            <w:vAlign w:val="top"/>
          </w:tcPr>
          <w:p>
            <w:r>
              <w:rPr>
                <w:rFonts w:ascii="Arial" w:cs="Arial" w:eastAsia="Arial" w:hAnsi="Arial"/>
                <w:b w:val="false"/>
                <w:bCs w:val="false"/>
                <w:color w:val="211C16"/>
                <w:sz w:val="17"/>
                <w:szCs w:val="17"/>
              </w:rPr>
              <w:t xml:space="preserve">Valokuvia ei käytetä biometriseen tunnistamiseen.</w:t>
            </w:r>
          </w:p>
        </w:tc>
      </w:tr>
    </w:tbl>
    <w:p>
      <w:pPr>
        <w:spacing w:after="110" w:before="0"/>
      </w:pPr>
      <w:r>
        <w:rPr>
          <w:rFonts w:ascii="Arial" w:cs="Arial" w:eastAsia="Arial" w:hAnsi="Arial"/>
          <w:b/>
          <w:bCs/>
          <w:i w:val="false"/>
          <w:iCs w:val="false"/>
          <w:color w:val="211C16"/>
          <w:sz w:val="20"/>
          <w:szCs w:val="20"/>
        </w:rPr>
        <w:t xml:space="preserve">Johtopäätös: </w:t>
      </w:r>
      <w:r>
        <w:rPr>
          <w:rFonts w:ascii="Arial" w:cs="Arial" w:eastAsia="Arial" w:hAnsi="Arial"/>
          <w:b w:val="false"/>
          <w:bCs w:val="false"/>
          <w:i w:val="false"/>
          <w:iCs w:val="false"/>
          <w:color w:val="211C16"/>
          <w:sz w:val="20"/>
          <w:szCs w:val="20"/>
        </w:rPr>
        <w:t xml:space="preserve">vähintään kolme kriteeriä täyttyy, joten vaikutustenarviointi on todennäköisesti tarpeen ennen tuotantokäyttöä. Erityistä huomiota vaativat automaattisesti muodostuva arvosana sekä kuormitustiedon käyttötarkoituksen rajaus.</w:t>
      </w:r>
    </w:p>
    <w:p>
      <w:pPr>
        <w:spacing w:after="110" w:before="0"/>
      </w:pPr>
      <w:r>
        <w:rPr>
          <w:rFonts w:ascii="Arial" w:cs="Arial" w:eastAsia="Arial" w:hAnsi="Arial"/>
          <w:b w:val="false"/>
          <w:bCs w:val="false"/>
          <w:i w:val="false"/>
          <w:iCs w:val="false"/>
          <w:color w:val="5A5347"/>
          <w:sz w:val="18"/>
          <w:szCs w:val="18"/>
        </w:rPr>
        <w:t xml:space="preserve">Automaattinen päätöksenteko (GDPR 22 art.): järjestelmän laskema arvosana on ohjaava työkalu. Lopullisen arvioinnin tekee aina opettaja, ja opiskelijalla on oikeus saada perustelu ja esittää oma näkemyksensä. Tämä on kirjattava ohjeeksi ja pidettävä totena myös käytännössä.</w:t>
      </w:r>
    </w:p>
    <w:p>
      <w:pPr>
        <w:pStyle w:val="Heading1"/>
        <w:spacing w:after="110" w:before="260"/>
      </w:pPr>
      <w:r>
        <w:rPr>
          <w:rFonts w:ascii="Arial" w:cs="Arial" w:eastAsia="Arial" w:hAnsi="Arial"/>
          <w:b/>
          <w:bCs/>
          <w:color w:val="211C16"/>
          <w:sz w:val="26"/>
          <w:szCs w:val="26"/>
        </w:rPr>
        <w:t xml:space="preserve">10. Nykyisen pilotin rajoitteet ja välittömät toimenpiteet</w:t>
      </w:r>
    </w:p>
    <w:p>
      <w:pPr>
        <w:spacing w:after="110" w:before="0"/>
      </w:pPr>
      <w:r>
        <w:rPr>
          <w:rFonts w:ascii="Arial" w:cs="Arial" w:eastAsia="Arial" w:hAnsi="Arial"/>
          <w:b w:val="false"/>
          <w:bCs w:val="false"/>
          <w:i w:val="false"/>
          <w:iCs w:val="false"/>
          <w:color w:val="211C16"/>
          <w:sz w:val="20"/>
          <w:szCs w:val="20"/>
        </w:rPr>
        <w:t xml:space="preserve">Rehellinen tilannekuva: kehitysvaiheen työkalut tallentavat tiedot selaimen paikalliseen muistiin. Tämä ei täytä tietosuojavaatimuksia henkilötiedoille, koska tiedot jäisivät pajan laitteelle ilman hallittua pääsynvalvontaa, varmuuskopiointia tai poistoa.</w:t>
      </w:r>
    </w:p>
    <w:p>
      <w:pPr>
        <w:pStyle w:val="ListParagraph"/>
        <w:numPr>
          <w:ilvl w:val="0"/>
          <w:numId w:val="3"/>
        </w:numPr>
        <w:spacing w:after="50"/>
      </w:pPr>
      <w:r>
        <w:rPr>
          <w:rFonts w:ascii="Arial" w:cs="Arial" w:eastAsia="Arial" w:hAnsi="Arial"/>
          <w:b/>
          <w:bCs/>
          <w:i w:val="false"/>
          <w:iCs w:val="false"/>
          <w:color w:val="211C16"/>
          <w:sz w:val="20"/>
          <w:szCs w:val="20"/>
        </w:rPr>
        <w:t xml:space="preserve">Pilottia jatketaan keksityillä nimillä. Oikeita nimiä, opiskelijanumeroita tai valokuvia ei syötetä ennen kuin sijainti on sovittu.</w:t>
      </w:r>
    </w:p>
    <w:p>
      <w:pPr>
        <w:pStyle w:val="ListParagraph"/>
        <w:numPr>
          <w:ilvl w:val="0"/>
          <w:numId w:val="3"/>
        </w:numPr>
        <w:spacing w:after="50"/>
      </w:pPr>
      <w:r>
        <w:rPr>
          <w:rFonts w:ascii="Arial" w:cs="Arial" w:eastAsia="Arial" w:hAnsi="Arial"/>
          <w:b w:val="false"/>
          <w:bCs w:val="false"/>
          <w:i w:val="false"/>
          <w:iCs w:val="false"/>
          <w:color w:val="211C16"/>
          <w:sz w:val="20"/>
          <w:szCs w:val="20"/>
        </w:rPr>
        <w:t xml:space="preserve">Tietojen sijainti sovitaan tietohallinnon kanssa (Moodle perehdytykselle, M365/SharePoint rekisteritiedoille).</w:t>
      </w:r>
    </w:p>
    <w:p>
      <w:pPr>
        <w:pStyle w:val="ListParagraph"/>
        <w:numPr>
          <w:ilvl w:val="0"/>
          <w:numId w:val="3"/>
        </w:numPr>
        <w:spacing w:after="50"/>
      </w:pPr>
      <w:r>
        <w:rPr>
          <w:rFonts w:ascii="Arial" w:cs="Arial" w:eastAsia="Arial" w:hAnsi="Arial"/>
          <w:b w:val="false"/>
          <w:bCs w:val="false"/>
          <w:i w:val="false"/>
          <w:iCs w:val="false"/>
          <w:color w:val="211C16"/>
          <w:sz w:val="20"/>
          <w:szCs w:val="20"/>
        </w:rPr>
        <w:t xml:space="preserve">Käsittelysopimukset varmistetaan ulkoisten palveluiden osalta (PRO24).</w:t>
      </w:r>
    </w:p>
    <w:p>
      <w:pPr>
        <w:pStyle w:val="ListParagraph"/>
        <w:numPr>
          <w:ilvl w:val="0"/>
          <w:numId w:val="3"/>
        </w:numPr>
        <w:spacing w:after="50"/>
      </w:pPr>
      <w:r>
        <w:rPr>
          <w:rFonts w:ascii="Arial" w:cs="Arial" w:eastAsia="Arial" w:hAnsi="Arial"/>
          <w:b w:val="false"/>
          <w:bCs w:val="false"/>
          <w:i w:val="false"/>
          <w:iCs w:val="false"/>
          <w:color w:val="211C16"/>
          <w:sz w:val="20"/>
          <w:szCs w:val="20"/>
        </w:rPr>
        <w:t xml:space="preserve">Vaikutustenarviointi tehdään tietosuojavastaavan ohjauksessa.</w:t>
      </w:r>
    </w:p>
    <w:p>
      <w:pPr>
        <w:pStyle w:val="ListParagraph"/>
        <w:numPr>
          <w:ilvl w:val="0"/>
          <w:numId w:val="3"/>
        </w:numPr>
        <w:spacing w:after="50"/>
      </w:pPr>
      <w:r>
        <w:rPr>
          <w:rFonts w:ascii="Arial" w:cs="Arial" w:eastAsia="Arial" w:hAnsi="Arial"/>
          <w:b w:val="false"/>
          <w:bCs w:val="false"/>
          <w:i w:val="false"/>
          <w:iCs w:val="false"/>
          <w:color w:val="211C16"/>
          <w:sz w:val="20"/>
          <w:szCs w:val="20"/>
        </w:rPr>
        <w:t xml:space="preserve">Tietosuojailmoitus annetaan opiskelijoille ennen ensimmäistä käyttökertaa (liite).</w:t>
      </w:r>
    </w:p>
    <w:p>
      <w:pPr>
        <w:pStyle w:val="Heading1"/>
        <w:spacing w:after="110" w:before="260"/>
      </w:pPr>
      <w:r>
        <w:rPr>
          <w:rFonts w:ascii="Arial" w:cs="Arial" w:eastAsia="Arial" w:hAnsi="Arial"/>
          <w:b/>
          <w:bCs/>
          <w:color w:val="211C16"/>
          <w:sz w:val="26"/>
          <w:szCs w:val="26"/>
        </w:rPr>
        <w:t xml:space="preserve">11. Avoimet kysymykset tietosuojavastaavalle</w:t>
      </w:r>
    </w:p>
    <w:p>
      <w:pPr>
        <w:pStyle w:val="ListParagraph"/>
        <w:numPr>
          <w:ilvl w:val="0"/>
          <w:numId w:val="4"/>
        </w:numPr>
        <w:spacing w:after="50"/>
      </w:pPr>
      <w:r>
        <w:rPr>
          <w:rFonts w:ascii="Arial" w:cs="Arial" w:eastAsia="Arial" w:hAnsi="Arial"/>
          <w:b w:val="false"/>
          <w:bCs w:val="false"/>
          <w:i w:val="false"/>
          <w:iCs w:val="false"/>
          <w:color w:val="211C16"/>
          <w:sz w:val="20"/>
          <w:szCs w:val="20"/>
        </w:rPr>
        <w:t xml:space="preserve">Mihin ympäristöön järjestelmä saa asentaa, ja mikä on hyväksytty tallennuspaikka?</w:t>
      </w:r>
    </w:p>
    <w:p>
      <w:pPr>
        <w:pStyle w:val="ListParagraph"/>
        <w:numPr>
          <w:ilvl w:val="0"/>
          <w:numId w:val="4"/>
        </w:numPr>
        <w:spacing w:after="50"/>
      </w:pPr>
      <w:r>
        <w:rPr>
          <w:rFonts w:ascii="Arial" w:cs="Arial" w:eastAsia="Arial" w:hAnsi="Arial"/>
          <w:b w:val="false"/>
          <w:bCs w:val="false"/>
          <w:i w:val="false"/>
          <w:iCs w:val="false"/>
          <w:color w:val="211C16"/>
          <w:sz w:val="20"/>
          <w:szCs w:val="20"/>
        </w:rPr>
        <w:t xml:space="preserve">Hyväksytäänkö ehdotetut oikeusperusteet ja säilytysajat?</w:t>
      </w:r>
    </w:p>
    <w:p>
      <w:pPr>
        <w:pStyle w:val="ListParagraph"/>
        <w:numPr>
          <w:ilvl w:val="0"/>
          <w:numId w:val="4"/>
        </w:numPr>
        <w:spacing w:after="50"/>
      </w:pPr>
      <w:r>
        <w:rPr>
          <w:rFonts w:ascii="Arial" w:cs="Arial" w:eastAsia="Arial" w:hAnsi="Arial"/>
          <w:b w:val="false"/>
          <w:bCs w:val="false"/>
          <w:i w:val="false"/>
          <w:iCs w:val="false"/>
          <w:color w:val="211C16"/>
          <w:sz w:val="20"/>
          <w:szCs w:val="20"/>
        </w:rPr>
        <w:t xml:space="preserve">Tarvitaanko vaikutustenarviointi, ja missä laajuudessa?</w:t>
      </w:r>
    </w:p>
    <w:p>
      <w:pPr>
        <w:pStyle w:val="ListParagraph"/>
        <w:numPr>
          <w:ilvl w:val="0"/>
          <w:numId w:val="4"/>
        </w:numPr>
        <w:spacing w:after="50"/>
      </w:pPr>
      <w:r>
        <w:rPr>
          <w:rFonts w:ascii="Arial" w:cs="Arial" w:eastAsia="Arial" w:hAnsi="Arial"/>
          <w:b w:val="false"/>
          <w:bCs w:val="false"/>
          <w:i w:val="false"/>
          <w:iCs w:val="false"/>
          <w:color w:val="211C16"/>
          <w:sz w:val="20"/>
          <w:szCs w:val="20"/>
        </w:rPr>
        <w:t xml:space="preserve">Onko PRO24:n kanssa voimassa oleva käsittelysopimus?</w:t>
      </w:r>
    </w:p>
    <w:p>
      <w:pPr>
        <w:pStyle w:val="ListParagraph"/>
        <w:numPr>
          <w:ilvl w:val="0"/>
          <w:numId w:val="4"/>
        </w:numPr>
        <w:spacing w:after="50"/>
      </w:pPr>
      <w:r>
        <w:rPr>
          <w:rFonts w:ascii="Arial" w:cs="Arial" w:eastAsia="Arial" w:hAnsi="Arial"/>
          <w:b w:val="false"/>
          <w:bCs w:val="false"/>
          <w:i w:val="false"/>
          <w:iCs w:val="false"/>
          <w:color w:val="211C16"/>
          <w:sz w:val="20"/>
          <w:szCs w:val="20"/>
        </w:rPr>
        <w:t xml:space="preserve">Voiko kuormitustietoa kerätä lainkaan, ja millä ehdoilla se pysyy ei-rankaisevana?</w:t>
      </w:r>
    </w:p>
    <w:p>
      <w:pPr>
        <w:pStyle w:val="ListParagraph"/>
        <w:numPr>
          <w:ilvl w:val="0"/>
          <w:numId w:val="4"/>
        </w:numPr>
        <w:spacing w:after="50"/>
      </w:pPr>
      <w:r>
        <w:rPr>
          <w:rFonts w:ascii="Arial" w:cs="Arial" w:eastAsia="Arial" w:hAnsi="Arial"/>
          <w:b w:val="false"/>
          <w:bCs w:val="false"/>
          <w:i w:val="false"/>
          <w:iCs w:val="false"/>
          <w:color w:val="211C16"/>
          <w:sz w:val="20"/>
          <w:szCs w:val="20"/>
        </w:rPr>
        <w:t xml:space="preserve">Miten valokuvien suostumus kerätään ja dokumentoidaan?</w:t>
      </w:r>
    </w:p>
    <w:p>
      <w:r>
        <w:br w:type="page"/>
      </w:r>
    </w:p>
    <w:p>
      <w:pPr>
        <w:pStyle w:val="Heading1"/>
        <w:spacing w:after="110" w:before="260"/>
      </w:pPr>
      <w:r>
        <w:rPr>
          <w:rFonts w:ascii="Arial" w:cs="Arial" w:eastAsia="Arial" w:hAnsi="Arial"/>
          <w:b/>
          <w:bCs/>
          <w:color w:val="211C16"/>
          <w:sz w:val="26"/>
          <w:szCs w:val="26"/>
        </w:rPr>
        <w:t xml:space="preserve">Liite: tietosuojailmoitus opiskelijalle</w:t>
      </w:r>
    </w:p>
    <w:p>
      <w:pPr>
        <w:spacing w:after="110" w:before="0"/>
      </w:pPr>
      <w:r>
        <w:rPr>
          <w:rFonts w:ascii="Arial" w:cs="Arial" w:eastAsia="Arial" w:hAnsi="Arial"/>
          <w:b w:val="false"/>
          <w:bCs w:val="false"/>
          <w:i/>
          <w:iCs/>
          <w:color w:val="5A5347"/>
          <w:sz w:val="18"/>
          <w:szCs w:val="18"/>
        </w:rPr>
        <w:t xml:space="preserve">Annetaan opiskelijalle kurssin alussa. Kirjoitettu selkokielellä.</w:t>
      </w:r>
    </w:p>
    <w:p>
      <w:pPr>
        <w:pStyle w:val="Heading2"/>
        <w:spacing w:after="80" w:before="180"/>
      </w:pPr>
      <w:r>
        <w:rPr>
          <w:rFonts w:ascii="Arial" w:cs="Arial" w:eastAsia="Arial" w:hAnsi="Arial"/>
          <w:b/>
          <w:bCs/>
          <w:color w:val="211C16"/>
          <w:sz w:val="22"/>
          <w:szCs w:val="22"/>
        </w:rPr>
        <w:t xml:space="preserve">Miksi tietojasi käsitellään</w:t>
      </w:r>
    </w:p>
    <w:p>
      <w:pPr>
        <w:spacing w:after="110" w:before="0"/>
      </w:pPr>
      <w:r>
        <w:rPr>
          <w:rFonts w:ascii="Arial" w:cs="Arial" w:eastAsia="Arial" w:hAnsi="Arial"/>
          <w:b w:val="false"/>
          <w:bCs w:val="false"/>
          <w:i w:val="false"/>
          <w:iCs w:val="false"/>
          <w:color w:val="211C16"/>
          <w:sz w:val="20"/>
          <w:szCs w:val="20"/>
        </w:rPr>
        <w:t xml:space="preserve">Pajoissa työskentely edellyttää, että turvallisuusperehdytys ja koneiden käyttöluvat on suoritettu. Työturvallisuuslaki velvoittaa oppilaitosta pitämään näistä kirjaa. Lisäksi seuraamme kurssin etenemistä ja materiaalikustannuksia.</w:t>
      </w:r>
    </w:p>
    <w:p>
      <w:pPr>
        <w:pStyle w:val="Heading2"/>
        <w:spacing w:after="80" w:before="180"/>
      </w:pPr>
      <w:r>
        <w:rPr>
          <w:rFonts w:ascii="Arial" w:cs="Arial" w:eastAsia="Arial" w:hAnsi="Arial"/>
          <w:b/>
          <w:bCs/>
          <w:color w:val="211C16"/>
          <w:sz w:val="22"/>
          <w:szCs w:val="22"/>
        </w:rPr>
        <w:t xml:space="preserve">Mitä tietoja kerätään</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Nimesi, opiskelijanumerosi, ryhmäsi ja Metropolian sähköpostiosoitteesi.</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Suorittamasi perehdytys, työlupa ja paja-ajokortit sekä kuittaajan tiedot.</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Läsnäolo, tehtävien eteneminen ja arviointi.</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Käyttämäsi materiaalit ja niiden kustannukset.</w:t>
      </w:r>
    </w:p>
    <w:p>
      <w:pPr>
        <w:pStyle w:val="ListParagraph"/>
        <w:numPr>
          <w:ilvl w:val="0"/>
          <w:numId w:val="2"/>
        </w:numPr>
        <w:spacing w:after="50"/>
      </w:pPr>
      <w:r>
        <w:rPr>
          <w:rFonts w:ascii="Arial" w:cs="Arial" w:eastAsia="Arial" w:hAnsi="Arial"/>
          <w:b w:val="false"/>
          <w:bCs w:val="false"/>
          <w:i w:val="false"/>
          <w:iCs w:val="false"/>
          <w:color w:val="211C16"/>
          <w:sz w:val="20"/>
          <w:szCs w:val="20"/>
        </w:rPr>
        <w:t xml:space="preserve">Valokuva, jos annat siihen erikseen luvan.</w:t>
      </w:r>
    </w:p>
    <w:p>
      <w:pPr>
        <w:pStyle w:val="Heading2"/>
        <w:spacing w:after="80" w:before="180"/>
      </w:pPr>
      <w:r>
        <w:rPr>
          <w:rFonts w:ascii="Arial" w:cs="Arial" w:eastAsia="Arial" w:hAnsi="Arial"/>
          <w:b/>
          <w:bCs/>
          <w:color w:val="211C16"/>
          <w:sz w:val="22"/>
          <w:szCs w:val="22"/>
        </w:rPr>
        <w:t xml:space="preserve">Kuka näkee tietosi</w:t>
      </w:r>
    </w:p>
    <w:p>
      <w:pPr>
        <w:spacing w:after="110" w:before="0"/>
      </w:pPr>
      <w:r>
        <w:rPr>
          <w:rFonts w:ascii="Arial" w:cs="Arial" w:eastAsia="Arial" w:hAnsi="Arial"/>
          <w:b w:val="false"/>
          <w:bCs w:val="false"/>
          <w:i w:val="false"/>
          <w:iCs w:val="false"/>
          <w:color w:val="211C16"/>
          <w:sz w:val="20"/>
          <w:szCs w:val="20"/>
        </w:rPr>
        <w:t xml:space="preserve">Näet itse omat tietosi. Opettaja ja pajamestarit näkevät ne opetuksen ja turvallisuuden hoitamiseksi. Tietoja ei luovuteta ulkopuolisille eikä käytetä mainontaan tai profilointiin.</w:t>
      </w:r>
    </w:p>
    <w:p>
      <w:pPr>
        <w:pStyle w:val="Heading2"/>
        <w:spacing w:after="80" w:before="180"/>
      </w:pPr>
      <w:r>
        <w:rPr>
          <w:rFonts w:ascii="Arial" w:cs="Arial" w:eastAsia="Arial" w:hAnsi="Arial"/>
          <w:b/>
          <w:bCs/>
          <w:color w:val="211C16"/>
          <w:sz w:val="22"/>
          <w:szCs w:val="22"/>
        </w:rPr>
        <w:t xml:space="preserve">Kuinka kauan tietoja säilytetään</w:t>
      </w:r>
    </w:p>
    <w:p>
      <w:pPr>
        <w:spacing w:after="110" w:before="0"/>
      </w:pPr>
      <w:r>
        <w:rPr>
          <w:rFonts w:ascii="Arial" w:cs="Arial" w:eastAsia="Arial" w:hAnsi="Arial"/>
          <w:b w:val="false"/>
          <w:bCs w:val="false"/>
          <w:i w:val="false"/>
          <w:iCs w:val="false"/>
          <w:color w:val="211C16"/>
          <w:sz w:val="20"/>
          <w:szCs w:val="20"/>
        </w:rPr>
        <w:t xml:space="preserve">Turvallisuustiedot säilytetään lain edellyttämän ajan. Kurssiin liittyvät tiedot poistetaan, kun kurssi ja oikaisuaika ovat päättyneet. Valokuva poistetaan heti, kun pyydät sitä.</w:t>
      </w:r>
    </w:p>
    <w:p>
      <w:pPr>
        <w:pStyle w:val="Heading2"/>
        <w:spacing w:after="80" w:before="180"/>
      </w:pPr>
      <w:r>
        <w:rPr>
          <w:rFonts w:ascii="Arial" w:cs="Arial" w:eastAsia="Arial" w:hAnsi="Arial"/>
          <w:b/>
          <w:bCs/>
          <w:color w:val="211C16"/>
          <w:sz w:val="22"/>
          <w:szCs w:val="22"/>
        </w:rPr>
        <w:t xml:space="preserve">Oikeutesi</w:t>
      </w:r>
    </w:p>
    <w:p>
      <w:pPr>
        <w:spacing w:after="110" w:before="0"/>
      </w:pPr>
      <w:r>
        <w:rPr>
          <w:rFonts w:ascii="Arial" w:cs="Arial" w:eastAsia="Arial" w:hAnsi="Arial"/>
          <w:b w:val="false"/>
          <w:bCs w:val="false"/>
          <w:i w:val="false"/>
          <w:iCs w:val="false"/>
          <w:color w:val="211C16"/>
          <w:sz w:val="20"/>
          <w:szCs w:val="20"/>
        </w:rPr>
        <w:t xml:space="preserve">Sinulla on oikeus nähdä omat tietosi, pyytää virheen korjaamista ja peruuttaa valokuvalupa milloin tahansa. Valokuvasta kieltäytyminen ei vaikuta opintoihisi millään tavalla. Voit myös tehdä valituksen tietosuojavaltuutetun toimistoon.</w:t>
      </w:r>
    </w:p>
    <w:p>
      <w:pPr>
        <w:pStyle w:val="Heading2"/>
        <w:spacing w:after="80" w:before="180"/>
      </w:pPr>
      <w:r>
        <w:rPr>
          <w:rFonts w:ascii="Arial" w:cs="Arial" w:eastAsia="Arial" w:hAnsi="Arial"/>
          <w:b/>
          <w:bCs/>
          <w:color w:val="211C16"/>
          <w:sz w:val="22"/>
          <w:szCs w:val="22"/>
        </w:rPr>
        <w:t xml:space="preserve">Yhteystiedot</w:t>
      </w:r>
    </w:p>
    <w:p>
      <w:pPr>
        <w:spacing w:after="110" w:before="0"/>
      </w:pPr>
      <w:r>
        <w:rPr>
          <w:rFonts w:ascii="Arial" w:cs="Arial" w:eastAsia="Arial" w:hAnsi="Arial"/>
          <w:b w:val="false"/>
          <w:bCs w:val="false"/>
          <w:i w:val="false"/>
          <w:iCs w:val="false"/>
          <w:color w:val="211C16"/>
          <w:sz w:val="20"/>
          <w:szCs w:val="20"/>
        </w:rPr>
        <w:t xml:space="preserve">Rekisterinpitäjä: Metropolia Ammattikorkeakoulu Oy. Tietosuojavastaava: [yhteystieto]. Kurssin vastuuopettaja: [nimi ja sähköposti].</w:t>
      </w:r>
    </w:p>
    <w:p>
      <w:pPr>
        <w:spacing w:after="120" w:before="0"/>
      </w:pPr>
      <w:r>
        <w:rPr>
          <w:rFonts w:ascii="Arial" w:cs="Arial" w:eastAsia="Arial" w:hAnsi="Arial"/>
          <w:b w:val="false"/>
          <w:bCs w:val="false"/>
          <w:i w:val="false"/>
          <w:iCs w:val="false"/>
          <w:color w:val="211C16"/>
          <w:sz w:val="20"/>
          <w:szCs w:val="20"/>
        </w:rPr>
        <w:t xml:space="preserve"/>
      </w:r>
    </w:p>
    <w:p>
      <w:pPr>
        <w:spacing w:after="0" w:before="0"/>
      </w:pPr>
      <w:r>
        <w:rPr>
          <w:rFonts w:ascii="Arial" w:cs="Arial" w:eastAsia="Arial" w:hAnsi="Arial"/>
          <w:b w:val="false"/>
          <w:bCs w:val="false"/>
          <w:i/>
          <w:iCs/>
          <w:color w:val="5A5347"/>
          <w:sz w:val="15"/>
          <w:szCs w:val="15"/>
        </w:rPr>
        <w:t xml:space="preserve">Lakiviitteet: EU:n yleinen tietosuoja-asetus (2016/679), tietosuojalaki 1050/2018, työturvallisuuslaki 738/2002, VNa kemiallisista tekijöistä työssä 715/2001, ASA-laki 452/2020.</w:t>
      </w:r>
    </w:p>
    <w:sectPr>
      <w:pgSz w:w="11906" w:h="16838"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40" w:hanging="200"/>
      </w:pPr>
    </w:lvl>
  </w:abstractNum>
  <w:abstractNum w:abstractNumId="4" w15:restartNumberingAfterBreak="0">
    <w:multiLevelType w:val="hybridMultilevel"/>
    <w:lvl w:ilvl="0" w15:tentative="1">
      <w:start w:val="1"/>
      <w:numFmt w:val="decimal"/>
      <w:lvlText w:val="%1."/>
      <w:lvlJc w:val="left"/>
      <w:pPr>
        <w:ind w:left="34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1C1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2026-08-11T03:40:03.798Z</dcterms:created>
  <dcterms:modified xsi:type="dcterms:W3CDTF">2026-08-11T03:40:03.799Z</dcterms:modified>
</cp:coreProperties>
</file>

<file path=docProps/custom.xml><?xml version="1.0" encoding="utf-8"?>
<Properties xmlns="http://schemas.openxmlformats.org/officeDocument/2006/custom-properties" xmlns:vt="http://schemas.openxmlformats.org/officeDocument/2006/docPropsVTypes"/>
</file>