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211C16"/>
          <w:sz w:val="30"/>
          <w:szCs w:val="30"/>
        </w:rPr>
        <w:t xml:space="preserve">Pajojen turvallisuus- ja resurssimalli — esitys syksyn pilotista</w:t>
      </w:r>
    </w:p>
    <w:p>
      <w:pPr>
        <w:spacing w:after="24"/>
      </w:pPr>
      <w:r>
        <w:rPr>
          <w:rFonts w:ascii="Arial" w:cs="Arial" w:eastAsia="Arial" w:hAnsi="Arial"/>
          <w:b w:val="false"/>
          <w:bCs w:val="false"/>
          <w:i/>
          <w:iCs/>
          <w:color w:val="5A5347"/>
          <w:sz w:val="19"/>
          <w:szCs w:val="19"/>
        </w:rPr>
        <w:t xml:space="preserve">Pajakuutio tekee pajan toiminnasta läpinäkyvää ja oikean tiedon saavutettavaa, jotta opiskelija oppii turvallisesti ja itsenäisesti — ja asiantuntijan aika riittää.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347"/>
          <w:sz w:val="16"/>
          <w:szCs w:val="16"/>
        </w:rPr>
        <w:t xml:space="preserve">Mika Ihanus  ·  lehtori &amp; pajamestari  ·  Muotoilun pajat, Arabian kampus  ·  21.6.2026</w:t>
      </w:r>
    </w:p>
    <w:p>
      <w:pPr>
        <w:pBdr>
          <w:bottom w:val="single" w:color="211C16" w:sz="8" w:space="1"/>
        </w:pBdr>
        <w:spacing w:after="90"/>
      </w:pPr>
    </w:p>
    <w:p>
      <w:pPr>
        <w:spacing w:after="40" w:before="130"/>
      </w:pPr>
      <w:r>
        <w:rPr>
          <w:rFonts w:ascii="Arial" w:cs="Arial" w:eastAsia="Arial" w:hAnsi="Arial"/>
          <w:b/>
          <w:bCs/>
          <w:color w:val="211C16"/>
          <w:sz w:val="21"/>
          <w:szCs w:val="21"/>
        </w:rPr>
        <w:t xml:space="preserve">Tilanne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Pajojen sitova rajoite on asiantuntija-aika: valvottuja tunteja on liian vähän suhteessa opiskelijoihin ja saleihin. Turvallisuustieto ja ohjeet ovat hajallaan, ja kone- ja kemikaaliturvallisuuden lakisääteinen vastuu on työnantajalla (TTL 738/2002, VNa 715/2001). Tästä syntyy sekä turvallisuus- että resurssiriski.</w:t>
      </w:r>
    </w:p>
    <w:p>
      <w:pPr>
        <w:spacing w:after="40" w:before="130"/>
      </w:pPr>
      <w:r>
        <w:rPr>
          <w:rFonts w:ascii="Arial" w:cs="Arial" w:eastAsia="Arial" w:hAnsi="Arial"/>
          <w:b/>
          <w:bCs/>
          <w:color w:val="211C16"/>
          <w:sz w:val="21"/>
          <w:szCs w:val="21"/>
        </w:rPr>
        <w:t xml:space="preserve">Ratkaisun ydin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Yksi selkeä opiskelijan polku turvallisuudesta itsenäisyyteen: </w:t>
      </w:r>
      <w:r>
        <w:rPr>
          <w:rFonts w:ascii="Arial" w:cs="Arial" w:eastAsia="Arial" w:hAnsi="Arial"/>
          <w:b/>
          <w:bCs/>
          <w:i w:val="false"/>
          <w:iCs w:val="false"/>
          <w:color w:val="211C16"/>
          <w:sz w:val="19"/>
          <w:szCs w:val="19"/>
        </w:rPr>
        <w:t xml:space="preserve">Vaihe 1 (turvallisuusperehdytys) → Työlupa → Paja-ajokortti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. Todennettu pätevyys mahdollistaa valvotun itsenäisen työskentelyn, mikä vapauttaa asiantuntijan aikaa turvallisesti. Tieto kootaan yhteen: kemikaalit PRO24-rekisteriin (KTT ja suojaimet QR-koodista), ajokorttimerkinnät yhteen jaettuun listaan. Tämä on läpinäkyvyyttä ja oikean tiedon saavutettavuutta käytännössä.</w:t>
      </w:r>
    </w:p>
    <w:p>
      <w:pPr>
        <w:spacing w:after="40" w:before="130"/>
      </w:pPr>
      <w:r>
        <w:rPr>
          <w:rFonts w:ascii="Arial" w:cs="Arial" w:eastAsia="Arial" w:hAnsi="Arial"/>
          <w:b/>
          <w:bCs/>
          <w:color w:val="211C16"/>
          <w:sz w:val="21"/>
          <w:szCs w:val="21"/>
        </w:rPr>
        <w:t xml:space="preserve">Hyöty kolmesta näkökulmasta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19"/>
          <w:szCs w:val="19"/>
        </w:rPr>
        <w:t xml:space="preserve">Talous: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vapauttaa kalleimman muuttujan eli asiantuntijatunnin ja vähentää hukan ja vahinkojen kustannusta. Ei vaadi alustainvestointia tässä vaiheessa.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19"/>
          <w:szCs w:val="19"/>
        </w:rPr>
        <w:t xml:space="preserve">Henkilöresurssit: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porrastettu itsenäisyys sulkee miehitysmatematiikan; käyttöönottoriski pienennetään testaamalla työkalut ennen laajennusta.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19"/>
          <w:szCs w:val="19"/>
        </w:rPr>
        <w:t xml:space="preserve">Turvallisuus: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yksi yksiselitteinen, lainmukainen turvaportti; työnantajan vastuu katettu; kemikaalivalvonta PRO24:llä ja ASA-rekisteri tarvittaessa (ASA-laki 452/2020).</w:t>
      </w:r>
    </w:p>
    <w:p>
      <w:pPr>
        <w:spacing w:after="40" w:before="130"/>
      </w:pPr>
      <w:r>
        <w:rPr>
          <w:rFonts w:ascii="Arial" w:cs="Arial" w:eastAsia="Arial" w:hAnsi="Arial"/>
          <w:b/>
          <w:bCs/>
          <w:color w:val="211C16"/>
          <w:sz w:val="21"/>
          <w:szCs w:val="21"/>
        </w:rPr>
        <w:t xml:space="preserve">Eteneminen — matala riski, selkeät päätösportit</w:t>
      </w:r>
    </w:p>
    <w:p>
      <w:pPr>
        <w:spacing w:after="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450"/>
        <w:gridCol w:w="2946"/>
      </w:tblGrid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7"/>
                <w:szCs w:val="17"/>
              </w:rPr>
              <w:t xml:space="preserve">Vaihe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7"/>
                <w:szCs w:val="17"/>
              </w:rPr>
              <w:t xml:space="preserve">Sisältö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7"/>
                <w:szCs w:val="17"/>
              </w:rPr>
              <w:t xml:space="preserve">Päätösportti</w:t>
            </w:r>
          </w:p>
        </w:tc>
      </w:tr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0 Kirkastus (nyt)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Järjestys ja roolit kuntoon — ei rakentamista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Sanoma yhdellä rivillä, jokaisella työkalulla omistaja</w:t>
            </w:r>
          </w:p>
        </w:tc>
      </w:tr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1 Validointi (kesä–elo)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Testaus 2–3 opiskelijalla ja 1–2 pajamestarilla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Ymmärrys- ja käyttöönottosignaali ennen rakentamista</w:t>
            </w:r>
          </w:p>
        </w:tc>
      </w:tr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2 Pilotti (syksy)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Ydinputki orientaatiokurssilla, data yhteen paikkaan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Kohortti suorittaa, merkintä säilyy</w:t>
            </w:r>
          </w:p>
        </w:tc>
      </w:tr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3 Skaalaus (syksy–kevät)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Roolinäkymät ja mittarit (säästetty aika, hukka)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Itsenäisyys yhdessä pajassa, mitattu hyöty</w:t>
            </w:r>
          </w:p>
        </w:tc>
      </w:tr>
      <w:tr>
        <w:tc>
          <w:tcPr>
            <w:tcW w:type="dxa" w:w="23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4 Järjestelmäpäätös (kevät–)</w:t>
            </w:r>
          </w:p>
        </w:tc>
        <w:tc>
          <w:tcPr>
            <w:tcW w:type="dxa" w:w="445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Päätös alustasta dataan perustuen</w:t>
            </w:r>
          </w:p>
        </w:tc>
        <w:tc>
          <w:tcPr>
            <w:tcW w:type="dxa" w:w="29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7"/>
                <w:szCs w:val="17"/>
              </w:rPr>
              <w:t xml:space="preserve">Investointi vain todennettua tarvetta vasten</w:t>
            </w:r>
          </w:p>
        </w:tc>
      </w:tr>
    </w:tbl>
    <w:p>
      <w:pPr>
        <w:spacing w:after="40" w:before="130"/>
      </w:pPr>
      <w:r>
        <w:rPr>
          <w:rFonts w:ascii="Arial" w:cs="Arial" w:eastAsia="Arial" w:hAnsi="Arial"/>
          <w:b/>
          <w:bCs/>
          <w:color w:val="211C16"/>
          <w:sz w:val="21"/>
          <w:szCs w:val="21"/>
        </w:rPr>
        <w:t xml:space="preserve">Mitä pyydän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Lupa pilotoida malli syksyn orientaatiokurssilla.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Päätös ajokorttitietojen kodista (Metropolian M365 / SharePoint-lista; kemikaaleille PRO24 on jo käytössä).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19"/>
          <w:szCs w:val="19"/>
        </w:rPr>
        <w:t xml:space="preserve">Tuki kevyeen validointiin (2–3 opiskelijaa, 1–2 pajamestaria) ja roolien ja vastuiden selkeytys osana pilottia.</w:t>
      </w:r>
    </w:p>
    <w:p>
      <w:pPr>
        <w:spacing w:before="130"/>
      </w:pPr>
      <w:r>
        <w:rPr>
          <w:rFonts w:ascii="Arial" w:cs="Arial" w:eastAsia="Arial" w:hAnsi="Arial"/>
          <w:b w:val="false"/>
          <w:bCs w:val="false"/>
          <w:i/>
          <w:iCs/>
          <w:color w:val="5A5347"/>
          <w:sz w:val="16"/>
          <w:szCs w:val="16"/>
        </w:rPr>
        <w:t xml:space="preserve">Ei vaadi tässä vaiheessa rahaa eikä uutta järjestelmää — vain luvan pilotoida ja päätöksen datan kodista.  Lakiperusta: TTL 738/2002, VNa 715/2001, käyttöasetus 403/2008, ASA-laki 452/2020.</w:t>
      </w:r>
    </w:p>
    <w:sectPr>
      <w:pgSz w:w="11906" w:h="16838" w:orient="portrait"/>
      <w:pgMar w:top="101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1C1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2026-06-21T10:27:26.847Z</dcterms:created>
  <dcterms:modified xsi:type="dcterms:W3CDTF">2026-06-21T10:27:26.848Z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