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Arial" w:cs="Arial" w:eastAsia="Arial" w:hAnsi="Arial"/>
          <w:b/>
          <w:bCs/>
          <w:i w:val="false"/>
          <w:iCs w:val="false"/>
          <w:color w:val="211C16"/>
          <w:sz w:val="32"/>
          <w:szCs w:val="32"/>
        </w:rPr>
        <w:t xml:space="preserve">Muotoilun pajojen digitaalinen oppimis- ja hallintaympäristö</w:t>
      </w:r>
    </w:p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A5347"/>
          <w:sz w:val="23"/>
          <w:szCs w:val="23"/>
        </w:rPr>
        <w:t xml:space="preserve">Integraatioanalyysi Metropolian järjestelmäkokonaisuuteen</w:t>
      </w:r>
    </w:p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A5347"/>
          <w:sz w:val="16"/>
          <w:szCs w:val="16"/>
        </w:rPr>
        <w:t xml:space="preserve">Laatija: Mika Ihanus, lehtori ja pajamestari · Muotoilun pajat, Arabian kampus · [päivämäärä]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A5347"/>
          <w:sz w:val="16"/>
          <w:szCs w:val="16"/>
        </w:rPr>
        <w:t xml:space="preserve">Vastaanottaja: Digitaaliset palvelut ja tiedolla johtaminen · [nimi]</w:t>
      </w:r>
    </w:p>
    <w:p>
      <w:pPr>
        <w:pBdr>
          <w:bottom w:val="single" w:color="211C16" w:sz="8" w:space="1"/>
        </w:pBdr>
        <w:spacing w:after="13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CE3F1B" w:sz="6"/>
              <w:left w:val="single" w:color="CE3F1B" w:sz="18"/>
              <w:bottom w:val="single" w:color="CE3F1B" w:sz="6"/>
              <w:right w:val="single" w:color="CE3F1B" w:sz="6"/>
            </w:tcBorders>
            <w:shd w:fill="FBEAE5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1C16"/>
                <w:sz w:val="20"/>
                <w:szCs w:val="20"/>
              </w:rPr>
              <w:t xml:space="preserve">Lukuohje.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1C16"/>
                <w:sz w:val="20"/>
                <w:szCs w:val="20"/>
              </w:rPr>
              <w:t xml:space="preserve">Tämä on kehitysvaiheen järjestelmäkokonaisuus, ei valmis tuote. Jokaisen osan kypsyystaso on merkitty luvussa 2, jotta arvio voidaan tehdä oikeilla tiedoilla. Kaikki nykyiset työkalut ovat yhden käyttäjän prototyyppejä: ne tallentavat tiedot selaimeen, eivät palvelimelle. Tuotantokäyttö edellyttää päätöksiä, joita pyydetään luvussa 12.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1C16"/>
          <w:sz w:val="20"/>
          <w:szCs w:val="20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211C16"/>
          <w:sz w:val="27"/>
          <w:szCs w:val="27"/>
        </w:rPr>
        <w:t xml:space="preserve">1. Tiivistelmä</w:t>
      </w:r>
    </w:p>
    <w:p>
      <w:pPr>
        <w:spacing w:after="11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1C16"/>
          <w:sz w:val="20"/>
          <w:szCs w:val="20"/>
        </w:rPr>
        <w:t xml:space="preserve">Muotoilun pajat on korkean riskin fyysinen oppimisympäristö: koneita, kemikaaleja ja materiaalivirtoja, joissa työnantajalla on lakisääteinen valvonta- ja perehdytysvastuu. Samaan aikaan opetusresurssi on niukka: valvottuja asiantuntijatunteja on rajallisesti suhteessa opiskelijamäärään ja tiloihin.</w:t>
      </w:r>
    </w:p>
    <w:p>
      <w:pPr>
        <w:spacing w:after="11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1C16"/>
          <w:sz w:val="20"/>
          <w:szCs w:val="20"/>
        </w:rPr>
        <w:t xml:space="preserve">Kehitetty kokonaisuus vastaa tähän yhdellä mekanismilla: </w:t>
      </w:r>
      <w:r>
        <w:rPr>
          <w:rFonts w:ascii="Arial" w:cs="Arial" w:eastAsia="Arial" w:hAnsi="Arial"/>
          <w:b/>
          <w:bCs/>
          <w:i w:val="false"/>
          <w:iCs w:val="false"/>
          <w:color w:val="211C16"/>
          <w:sz w:val="20"/>
          <w:szCs w:val="20"/>
        </w:rPr>
        <w:t xml:space="preserve">todennettu pätevyys vapauttaa valvotun itsenäisyyden.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11C16"/>
          <w:sz w:val="20"/>
          <w:szCs w:val="20"/>
        </w:rPr>
        <w:t xml:space="preserve"> Opiskelija etenee perehdytyksestä työluvan kautta konekohtaiseen paja-ajokorttiin, ja vasta se avaa itsenäisen työskentelyn. Tämä on samanaikaisesti turvallisuusratkaisu ja resurssiratkaisu.</w:t>
      </w:r>
    </w:p>
    <w:p>
      <w:pPr>
        <w:spacing w:after="11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1C16"/>
          <w:sz w:val="20"/>
          <w:szCs w:val="20"/>
        </w:rPr>
        <w:t xml:space="preserve">Kokonaisuus tekee lisäksi näkyväksi sen, mikä on tähän asti ollut opiskelijalta piilossa: materiaalin todellisen hinnan, toimittajan, varastotilanteen ja jätteen kiertoreitin. Se muuttaa kustannustietoisuuden ja kiertotalouden abstraktista periaatteesta arjen havainnoksi.</w:t>
      </w:r>
    </w:p>
    <w:p>
      <w:pPr>
        <w:spacing w:after="110" w:before="0"/>
      </w:pPr>
      <w:r>
        <w:rPr>
          <w:rFonts w:ascii="Arial" w:cs="Arial" w:eastAsia="Arial" w:hAnsi="Arial"/>
          <w:b/>
          <w:bCs/>
          <w:i w:val="false"/>
          <w:iCs w:val="false"/>
          <w:color w:val="211C16"/>
          <w:sz w:val="20"/>
          <w:szCs w:val="20"/>
        </w:rPr>
        <w:t xml:space="preserve">Järjestelmä ei pyri korvaamaan Metropolian olemassa olevia järjestelmiä. Se on ohut, pajakohtainen kerros, joka lukee ja kirjoittaa niiden rajapintojen kautta.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211C16"/>
          <w:sz w:val="27"/>
          <w:szCs w:val="27"/>
        </w:rPr>
        <w:t xml:space="preserve">2. Kypsyystaso — mikä on valmista ja mikä ei</w:t>
      </w:r>
    </w:p>
    <w:p>
      <w:pPr>
        <w:spacing w:after="11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A5347"/>
          <w:sz w:val="18"/>
          <w:szCs w:val="18"/>
        </w:rPr>
        <w:t xml:space="preserve">Tämän luvun tarkoitus on estää yliarviointi. Luokat: A = toteutettu ja testattu, B = toimiva prototyyppi (ei tuotantokelpoista tallennusta), C = määritelty (dokumentoitu spesifikaatio), D = suunniteltu (ei toteutusta).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900"/>
        <w:gridCol w:w="4646"/>
      </w:tblGrid>
      <w:tr>
        <w:tc>
          <w:tcPr>
            <w:tcW w:type="dxa" w:w="4200"/>
            <w:tcBorders>
              <w:top w:val="single" w:color="C8BFAD" w:sz="1"/>
              <w:left w:val="single" w:color="C8BFAD" w:sz="1"/>
              <w:bottom w:val="single" w:color="C8BFAD" w:sz="1"/>
              <w:right w:val="single" w:color="C8BFAD" w:sz="1"/>
            </w:tcBorders>
            <w:shd w:fill="EDE7DA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11C16"/>
                <w:sz w:val="16"/>
                <w:szCs w:val="16"/>
              </w:rPr>
              <w:t xml:space="preserve">Osa</w:t>
            </w:r>
          </w:p>
        </w:tc>
        <w:tc>
          <w:tcPr>
            <w:tcW w:type="dxa" w:w="900"/>
            <w:tcBorders>
              <w:top w:val="single" w:color="C8BFAD" w:sz="1"/>
              <w:left w:val="single" w:color="C8BFAD" w:sz="1"/>
              <w:bottom w:val="single" w:color="C8BFAD" w:sz="1"/>
              <w:right w:val="single" w:color="C8BFAD" w:sz="1"/>
            </w:tcBorders>
            <w:shd w:fill="EDE7DA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11C16"/>
                <w:sz w:val="16"/>
                <w:szCs w:val="16"/>
              </w:rPr>
              <w:t xml:space="preserve">Taso</w:t>
            </w:r>
          </w:p>
        </w:tc>
        <w:tc>
          <w:tcPr>
            <w:tcW w:type="dxa" w:w="4646"/>
            <w:tcBorders>
              <w:top w:val="single" w:color="C8BFAD" w:sz="1"/>
              <w:left w:val="single" w:color="C8BFAD" w:sz="1"/>
              <w:bottom w:val="single" w:color="C8BFAD" w:sz="1"/>
              <w:right w:val="single" w:color="C8BFAD" w:sz="1"/>
            </w:tcBorders>
            <w:shd w:fill="EDE7DA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11C16"/>
                <w:sz w:val="16"/>
                <w:szCs w:val="16"/>
              </w:rPr>
              <w:t xml:space="preserve">Huomio</w:t>
            </w:r>
          </w:p>
        </w:tc>
      </w:tr>
      <w:tr>
        <w:tc>
          <w:tcPr>
            <w:tcW w:type="dxa" w:w="4200"/>
            <w:tcBorders>
              <w:top w:val="single" w:color="C8BFAD" w:sz="1"/>
              <w:left w:val="single" w:color="C8BFAD" w:sz="1"/>
              <w:bottom w:val="single" w:color="C8BFAD" w:sz="1"/>
              <w:right w:val="single" w:color="C8BFAD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1C16"/>
                <w:sz w:val="16"/>
                <w:szCs w:val="16"/>
              </w:rPr>
              <w:t xml:space="preserve">Perehdytys, työlupa, paja-ajokortti</w:t>
            </w:r>
          </w:p>
        </w:tc>
        <w:tc>
          <w:tcPr>
            <w:tcW w:type="dxa" w:w="900"/>
            <w:tcBorders>
              <w:top w:val="single" w:color="C8BFAD" w:sz="1"/>
              <w:left w:val="single" w:color="C8BFAD" w:sz="1"/>
              <w:bottom w:val="single" w:color="C8BFAD" w:sz="1"/>
              <w:right w:val="single" w:color="C8BFAD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1C16"/>
                <w:sz w:val="16"/>
                <w:szCs w:val="16"/>
              </w:rPr>
              <w:t xml:space="preserve">B</w:t>
            </w:r>
          </w:p>
        </w:tc>
        <w:tc>
          <w:tcPr>
            <w:tcW w:type="dxa" w:w="4646"/>
            <w:tcBorders>
              <w:top w:val="single" w:color="C8BFAD" w:sz="1"/>
              <w:left w:val="single" w:color="C8BFAD" w:sz="1"/>
              <w:bottom w:val="single" w:color="C8BFAD" w:sz="1"/>
              <w:right w:val="single" w:color="C8BFAD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1C16"/>
                <w:sz w:val="16"/>
                <w:szCs w:val="16"/>
              </w:rPr>
              <w:t xml:space="preserve">SCORM 1.2 -paketti valmis; Moodle-testaus tekemättä</w:t>
            </w:r>
          </w:p>
        </w:tc>
      </w:tr>
      <w:tr>
        <w:tc>
          <w:tcPr>
            <w:tcW w:type="dxa" w:w="4200"/>
            <w:tcBorders>
              <w:top w:val="single" w:color="C8BFAD" w:sz="1"/>
              <w:left w:val="single" w:color="C8BFAD" w:sz="1"/>
              <w:bottom w:val="single" w:color="C8BFAD" w:sz="1"/>
              <w:right w:val="single" w:color="C8BFAD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1C16"/>
                <w:sz w:val="16"/>
                <w:szCs w:val="16"/>
              </w:rPr>
              <w:t xml:space="preserve">Kemikaalirekisteri ja kemikaalikortit</w:t>
            </w:r>
          </w:p>
        </w:tc>
        <w:tc>
          <w:tcPr>
            <w:tcW w:type="dxa" w:w="900"/>
            <w:tcBorders>
              <w:top w:val="single" w:color="C8BFAD" w:sz="1"/>
              <w:left w:val="single" w:color="C8BFAD" w:sz="1"/>
              <w:bottom w:val="single" w:color="C8BFAD" w:sz="1"/>
              <w:right w:val="single" w:color="C8BFAD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1C16"/>
                <w:sz w:val="16"/>
                <w:szCs w:val="16"/>
              </w:rPr>
              <w:t xml:space="preserve">B</w:t>
            </w:r>
          </w:p>
        </w:tc>
        <w:tc>
          <w:tcPr>
            <w:tcW w:type="dxa" w:w="4646"/>
            <w:tcBorders>
              <w:top w:val="single" w:color="C8BFAD" w:sz="1"/>
              <w:left w:val="single" w:color="C8BFAD" w:sz="1"/>
              <w:bottom w:val="single" w:color="C8BFAD" w:sz="1"/>
              <w:right w:val="single" w:color="C8BFAD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1C16"/>
                <w:sz w:val="16"/>
                <w:szCs w:val="16"/>
              </w:rPr>
              <w:t xml:space="preserve">PRO24-vienti tiedostona toimii; rajapintaa ei ole julkaistu</w:t>
            </w:r>
          </w:p>
        </w:tc>
      </w:tr>
      <w:tr>
        <w:tc>
          <w:tcPr>
            <w:tcW w:type="dxa" w:w="4200"/>
            <w:tcBorders>
              <w:top w:val="single" w:color="C8BFAD" w:sz="1"/>
              <w:left w:val="single" w:color="C8BFAD" w:sz="1"/>
              <w:bottom w:val="single" w:color="C8BFAD" w:sz="1"/>
              <w:right w:val="single" w:color="C8BFAD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1C16"/>
                <w:sz w:val="16"/>
                <w:szCs w:val="16"/>
              </w:rPr>
              <w:t xml:space="preserve">Poikkeamat ja muuttumaton loki</w:t>
            </w:r>
          </w:p>
        </w:tc>
        <w:tc>
          <w:tcPr>
            <w:tcW w:type="dxa" w:w="900"/>
            <w:tcBorders>
              <w:top w:val="single" w:color="C8BFAD" w:sz="1"/>
              <w:left w:val="single" w:color="C8BFAD" w:sz="1"/>
              <w:bottom w:val="single" w:color="C8BFAD" w:sz="1"/>
              <w:right w:val="single" w:color="C8BFAD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1C16"/>
                <w:sz w:val="16"/>
                <w:szCs w:val="16"/>
              </w:rPr>
              <w:t xml:space="preserve">B</w:t>
            </w:r>
          </w:p>
        </w:tc>
        <w:tc>
          <w:tcPr>
            <w:tcW w:type="dxa" w:w="4646"/>
            <w:tcBorders>
              <w:top w:val="single" w:color="C8BFAD" w:sz="1"/>
              <w:left w:val="single" w:color="C8BFAD" w:sz="1"/>
              <w:bottom w:val="single" w:color="C8BFAD" w:sz="1"/>
              <w:right w:val="single" w:color="C8BFAD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1C16"/>
                <w:sz w:val="16"/>
                <w:szCs w:val="16"/>
              </w:rPr>
              <w:t xml:space="preserve">Toiminnallisesti testattu</w:t>
            </w:r>
          </w:p>
        </w:tc>
      </w:tr>
      <w:tr>
        <w:tc>
          <w:tcPr>
            <w:tcW w:type="dxa" w:w="4200"/>
            <w:tcBorders>
              <w:top w:val="single" w:color="C8BFAD" w:sz="1"/>
              <w:left w:val="single" w:color="C8BFAD" w:sz="1"/>
              <w:bottom w:val="single" w:color="C8BFAD" w:sz="1"/>
              <w:right w:val="single" w:color="C8BFAD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1C16"/>
                <w:sz w:val="16"/>
                <w:szCs w:val="16"/>
              </w:rPr>
              <w:t xml:space="preserve">Materiaalikortti, hinnat, toimittajat, inventaario</w:t>
            </w:r>
          </w:p>
        </w:tc>
        <w:tc>
          <w:tcPr>
            <w:tcW w:type="dxa" w:w="900"/>
            <w:tcBorders>
              <w:top w:val="single" w:color="C8BFAD" w:sz="1"/>
              <w:left w:val="single" w:color="C8BFAD" w:sz="1"/>
              <w:bottom w:val="single" w:color="C8BFAD" w:sz="1"/>
              <w:right w:val="single" w:color="C8BFAD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1C16"/>
                <w:sz w:val="16"/>
                <w:szCs w:val="16"/>
              </w:rPr>
              <w:t xml:space="preserve">B</w:t>
            </w:r>
          </w:p>
        </w:tc>
        <w:tc>
          <w:tcPr>
            <w:tcW w:type="dxa" w:w="4646"/>
            <w:tcBorders>
              <w:top w:val="single" w:color="C8BFAD" w:sz="1"/>
              <w:left w:val="single" w:color="C8BFAD" w:sz="1"/>
              <w:bottom w:val="single" w:color="C8BFAD" w:sz="1"/>
              <w:right w:val="single" w:color="C8BFAD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1C16"/>
                <w:sz w:val="16"/>
                <w:szCs w:val="16"/>
              </w:rPr>
              <w:t xml:space="preserve">Hinnan rakenne ja saldopäivitys testattu</w:t>
            </w:r>
          </w:p>
        </w:tc>
      </w:tr>
      <w:tr>
        <w:tc>
          <w:tcPr>
            <w:tcW w:type="dxa" w:w="4200"/>
            <w:tcBorders>
              <w:top w:val="single" w:color="C8BFAD" w:sz="1"/>
              <w:left w:val="single" w:color="C8BFAD" w:sz="1"/>
              <w:bottom w:val="single" w:color="C8BFAD" w:sz="1"/>
              <w:right w:val="single" w:color="C8BFAD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1C16"/>
                <w:sz w:val="16"/>
                <w:szCs w:val="16"/>
              </w:rPr>
              <w:t xml:space="preserve">RETAKE- ja jätevirtojen kirjanpito</w:t>
            </w:r>
          </w:p>
        </w:tc>
        <w:tc>
          <w:tcPr>
            <w:tcW w:type="dxa" w:w="900"/>
            <w:tcBorders>
              <w:top w:val="single" w:color="C8BFAD" w:sz="1"/>
              <w:left w:val="single" w:color="C8BFAD" w:sz="1"/>
              <w:bottom w:val="single" w:color="C8BFAD" w:sz="1"/>
              <w:right w:val="single" w:color="C8BFAD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1C16"/>
                <w:sz w:val="16"/>
                <w:szCs w:val="16"/>
              </w:rPr>
              <w:t xml:space="preserve">B</w:t>
            </w:r>
          </w:p>
        </w:tc>
        <w:tc>
          <w:tcPr>
            <w:tcW w:type="dxa" w:w="4646"/>
            <w:tcBorders>
              <w:top w:val="single" w:color="C8BFAD" w:sz="1"/>
              <w:left w:val="single" w:color="C8BFAD" w:sz="1"/>
              <w:bottom w:val="single" w:color="C8BFAD" w:sz="1"/>
              <w:right w:val="single" w:color="C8BFAD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1C16"/>
                <w:sz w:val="16"/>
                <w:szCs w:val="16"/>
              </w:rPr>
              <w:t xml:space="preserve">Jae, määrä, käsittelijä ja arvo</w:t>
            </w:r>
          </w:p>
        </w:tc>
      </w:tr>
      <w:tr>
        <w:tc>
          <w:tcPr>
            <w:tcW w:type="dxa" w:w="4200"/>
            <w:tcBorders>
              <w:top w:val="single" w:color="C8BFAD" w:sz="1"/>
              <w:left w:val="single" w:color="C8BFAD" w:sz="1"/>
              <w:bottom w:val="single" w:color="C8BFAD" w:sz="1"/>
              <w:right w:val="single" w:color="C8BFAD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1C16"/>
                <w:sz w:val="16"/>
                <w:szCs w:val="16"/>
              </w:rPr>
              <w:t xml:space="preserve">Läsnäolo, tehtävät, ohjaava arviointi</w:t>
            </w:r>
          </w:p>
        </w:tc>
        <w:tc>
          <w:tcPr>
            <w:tcW w:type="dxa" w:w="900"/>
            <w:tcBorders>
              <w:top w:val="single" w:color="C8BFAD" w:sz="1"/>
              <w:left w:val="single" w:color="C8BFAD" w:sz="1"/>
              <w:bottom w:val="single" w:color="C8BFAD" w:sz="1"/>
              <w:right w:val="single" w:color="C8BFAD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1C16"/>
                <w:sz w:val="16"/>
                <w:szCs w:val="16"/>
              </w:rPr>
              <w:t xml:space="preserve">B</w:t>
            </w:r>
          </w:p>
        </w:tc>
        <w:tc>
          <w:tcPr>
            <w:tcW w:type="dxa" w:w="4646"/>
            <w:tcBorders>
              <w:top w:val="single" w:color="C8BFAD" w:sz="1"/>
              <w:left w:val="single" w:color="C8BFAD" w:sz="1"/>
              <w:bottom w:val="single" w:color="C8BFAD" w:sz="1"/>
              <w:right w:val="single" w:color="C8BFAD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1C16"/>
                <w:sz w:val="16"/>
                <w:szCs w:val="16"/>
              </w:rPr>
              <w:t xml:space="preserve">Painotukset säädettävissä</w:t>
            </w:r>
          </w:p>
        </w:tc>
      </w:tr>
      <w:tr>
        <w:tc>
          <w:tcPr>
            <w:tcW w:type="dxa" w:w="4200"/>
            <w:tcBorders>
              <w:top w:val="single" w:color="C8BFAD" w:sz="1"/>
              <w:left w:val="single" w:color="C8BFAD" w:sz="1"/>
              <w:bottom w:val="single" w:color="C8BFAD" w:sz="1"/>
              <w:right w:val="single" w:color="C8BFAD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1C16"/>
                <w:sz w:val="16"/>
                <w:szCs w:val="16"/>
              </w:rPr>
              <w:t xml:space="preserve">Työkalujen sijaintitieto</w:t>
            </w:r>
          </w:p>
        </w:tc>
        <w:tc>
          <w:tcPr>
            <w:tcW w:type="dxa" w:w="900"/>
            <w:tcBorders>
              <w:top w:val="single" w:color="C8BFAD" w:sz="1"/>
              <w:left w:val="single" w:color="C8BFAD" w:sz="1"/>
              <w:bottom w:val="single" w:color="C8BFAD" w:sz="1"/>
              <w:right w:val="single" w:color="C8BFAD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1C16"/>
                <w:sz w:val="16"/>
                <w:szCs w:val="16"/>
              </w:rPr>
              <w:t xml:space="preserve">B</w:t>
            </w:r>
          </w:p>
        </w:tc>
        <w:tc>
          <w:tcPr>
            <w:tcW w:type="dxa" w:w="4646"/>
            <w:tcBorders>
              <w:top w:val="single" w:color="C8BFAD" w:sz="1"/>
              <w:left w:val="single" w:color="C8BFAD" w:sz="1"/>
              <w:bottom w:val="single" w:color="C8BFAD" w:sz="1"/>
              <w:right w:val="single" w:color="C8BFAD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1C16"/>
                <w:sz w:val="16"/>
                <w:szCs w:val="16"/>
              </w:rPr>
              <w:t xml:space="preserve">Nykyinen tarkkuus: hylly- ja taulutaso, ei laatikkotaso</w:t>
            </w:r>
          </w:p>
        </w:tc>
      </w:tr>
      <w:tr>
        <w:tc>
          <w:tcPr>
            <w:tcW w:type="dxa" w:w="4200"/>
            <w:tcBorders>
              <w:top w:val="single" w:color="C8BFAD" w:sz="1"/>
              <w:left w:val="single" w:color="C8BFAD" w:sz="1"/>
              <w:bottom w:val="single" w:color="C8BFAD" w:sz="1"/>
              <w:right w:val="single" w:color="C8BFAD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1C16"/>
                <w:sz w:val="16"/>
                <w:szCs w:val="16"/>
              </w:rPr>
              <w:t xml:space="preserve">Sovellus puhelimeen (PWA)</w:t>
            </w:r>
          </w:p>
        </w:tc>
        <w:tc>
          <w:tcPr>
            <w:tcW w:type="dxa" w:w="900"/>
            <w:tcBorders>
              <w:top w:val="single" w:color="C8BFAD" w:sz="1"/>
              <w:left w:val="single" w:color="C8BFAD" w:sz="1"/>
              <w:bottom w:val="single" w:color="C8BFAD" w:sz="1"/>
              <w:right w:val="single" w:color="C8BFAD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1C16"/>
                <w:sz w:val="16"/>
                <w:szCs w:val="16"/>
              </w:rPr>
              <w:t xml:space="preserve">B</w:t>
            </w:r>
          </w:p>
        </w:tc>
        <w:tc>
          <w:tcPr>
            <w:tcW w:type="dxa" w:w="4646"/>
            <w:tcBorders>
              <w:top w:val="single" w:color="C8BFAD" w:sz="1"/>
              <w:left w:val="single" w:color="C8BFAD" w:sz="1"/>
              <w:bottom w:val="single" w:color="C8BFAD" w:sz="1"/>
              <w:right w:val="single" w:color="C8BFAD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1C16"/>
                <w:sz w:val="16"/>
                <w:szCs w:val="16"/>
              </w:rPr>
              <w:t xml:space="preserve">Vaatii HTTPS-julkaisun; asennettavuus varmistettu</w:t>
            </w:r>
          </w:p>
        </w:tc>
      </w:tr>
      <w:tr>
        <w:tc>
          <w:tcPr>
            <w:tcW w:type="dxa" w:w="4200"/>
            <w:tcBorders>
              <w:top w:val="single" w:color="C8BFAD" w:sz="1"/>
              <w:left w:val="single" w:color="C8BFAD" w:sz="1"/>
              <w:bottom w:val="single" w:color="C8BFAD" w:sz="1"/>
              <w:right w:val="single" w:color="C8BFAD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1C16"/>
                <w:sz w:val="16"/>
                <w:szCs w:val="16"/>
              </w:rPr>
              <w:t xml:space="preserve">Avoin kyvykkyys- ja kuormamalli (IKM v0.1)</w:t>
            </w:r>
          </w:p>
        </w:tc>
        <w:tc>
          <w:tcPr>
            <w:tcW w:type="dxa" w:w="900"/>
            <w:tcBorders>
              <w:top w:val="single" w:color="C8BFAD" w:sz="1"/>
              <w:left w:val="single" w:color="C8BFAD" w:sz="1"/>
              <w:bottom w:val="single" w:color="C8BFAD" w:sz="1"/>
              <w:right w:val="single" w:color="C8BFAD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1C16"/>
                <w:sz w:val="16"/>
                <w:szCs w:val="16"/>
              </w:rPr>
              <w:t xml:space="preserve">C</w:t>
            </w:r>
          </w:p>
        </w:tc>
        <w:tc>
          <w:tcPr>
            <w:tcW w:type="dxa" w:w="4646"/>
            <w:tcBorders>
              <w:top w:val="single" w:color="C8BFAD" w:sz="1"/>
              <w:left w:val="single" w:color="C8BFAD" w:sz="1"/>
              <w:bottom w:val="single" w:color="C8BFAD" w:sz="1"/>
              <w:right w:val="single" w:color="C8BFAD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1C16"/>
                <w:sz w:val="16"/>
                <w:szCs w:val="16"/>
              </w:rPr>
              <w:t xml:space="preserve">JSON Schema ja taksonomia dokumentoitu</w:t>
            </w:r>
          </w:p>
        </w:tc>
      </w:tr>
      <w:tr>
        <w:tc>
          <w:tcPr>
            <w:tcW w:type="dxa" w:w="4200"/>
            <w:tcBorders>
              <w:top w:val="single" w:color="C8BFAD" w:sz="1"/>
              <w:left w:val="single" w:color="C8BFAD" w:sz="1"/>
              <w:bottom w:val="single" w:color="C8BFAD" w:sz="1"/>
              <w:right w:val="single" w:color="C8BFAD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1C16"/>
                <w:sz w:val="16"/>
                <w:szCs w:val="16"/>
              </w:rPr>
              <w:t xml:space="preserve">Tietosuojadokumentaatio ja DPIA-esiarvio</w:t>
            </w:r>
          </w:p>
        </w:tc>
        <w:tc>
          <w:tcPr>
            <w:tcW w:type="dxa" w:w="900"/>
            <w:tcBorders>
              <w:top w:val="single" w:color="C8BFAD" w:sz="1"/>
              <w:left w:val="single" w:color="C8BFAD" w:sz="1"/>
              <w:bottom w:val="single" w:color="C8BFAD" w:sz="1"/>
              <w:right w:val="single" w:color="C8BFAD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1C16"/>
                <w:sz w:val="16"/>
                <w:szCs w:val="16"/>
              </w:rPr>
              <w:t xml:space="preserve">C</w:t>
            </w:r>
          </w:p>
        </w:tc>
        <w:tc>
          <w:tcPr>
            <w:tcW w:type="dxa" w:w="4646"/>
            <w:tcBorders>
              <w:top w:val="single" w:color="C8BFAD" w:sz="1"/>
              <w:left w:val="single" w:color="C8BFAD" w:sz="1"/>
              <w:bottom w:val="single" w:color="C8BFAD" w:sz="1"/>
              <w:right w:val="single" w:color="C8BFAD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1C16"/>
                <w:sz w:val="16"/>
                <w:szCs w:val="16"/>
              </w:rPr>
              <w:t xml:space="preserve">Valmis tietosuojavastaavan käsittelyyn</w:t>
            </w:r>
          </w:p>
        </w:tc>
      </w:tr>
      <w:tr>
        <w:tc>
          <w:tcPr>
            <w:tcW w:type="dxa" w:w="4200"/>
            <w:tcBorders>
              <w:top w:val="single" w:color="C8BFAD" w:sz="1"/>
              <w:left w:val="single" w:color="C8BFAD" w:sz="1"/>
              <w:bottom w:val="single" w:color="C8BFAD" w:sz="1"/>
              <w:right w:val="single" w:color="C8BFAD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1C16"/>
                <w:sz w:val="16"/>
                <w:szCs w:val="16"/>
              </w:rPr>
              <w:t xml:space="preserve">Tekoälyavusteinen menetelmäehdotus</w:t>
            </w:r>
          </w:p>
        </w:tc>
        <w:tc>
          <w:tcPr>
            <w:tcW w:type="dxa" w:w="900"/>
            <w:tcBorders>
              <w:top w:val="single" w:color="C8BFAD" w:sz="1"/>
              <w:left w:val="single" w:color="C8BFAD" w:sz="1"/>
              <w:bottom w:val="single" w:color="C8BFAD" w:sz="1"/>
              <w:right w:val="single" w:color="C8BFAD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1C16"/>
                <w:sz w:val="16"/>
                <w:szCs w:val="16"/>
              </w:rPr>
              <w:t xml:space="preserve">D</w:t>
            </w:r>
          </w:p>
        </w:tc>
        <w:tc>
          <w:tcPr>
            <w:tcW w:type="dxa" w:w="4646"/>
            <w:tcBorders>
              <w:top w:val="single" w:color="C8BFAD" w:sz="1"/>
              <w:left w:val="single" w:color="C8BFAD" w:sz="1"/>
              <w:bottom w:val="single" w:color="C8BFAD" w:sz="1"/>
              <w:right w:val="single" w:color="C8BFAD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1C16"/>
                <w:sz w:val="16"/>
                <w:szCs w:val="16"/>
              </w:rPr>
              <w:t xml:space="preserve">Suunnitteluperiaatteet kuvattu, ei toteutusta</w:t>
            </w:r>
          </w:p>
        </w:tc>
      </w:tr>
      <w:tr>
        <w:tc>
          <w:tcPr>
            <w:tcW w:type="dxa" w:w="4200"/>
            <w:tcBorders>
              <w:top w:val="single" w:color="C8BFAD" w:sz="1"/>
              <w:left w:val="single" w:color="C8BFAD" w:sz="1"/>
              <w:bottom w:val="single" w:color="C8BFAD" w:sz="1"/>
              <w:right w:val="single" w:color="C8BFAD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1C16"/>
                <w:sz w:val="16"/>
                <w:szCs w:val="16"/>
              </w:rPr>
              <w:t xml:space="preserve">Henkilökohtainen ohjaus ja kuormaseuranta</w:t>
            </w:r>
          </w:p>
        </w:tc>
        <w:tc>
          <w:tcPr>
            <w:tcW w:type="dxa" w:w="900"/>
            <w:tcBorders>
              <w:top w:val="single" w:color="C8BFAD" w:sz="1"/>
              <w:left w:val="single" w:color="C8BFAD" w:sz="1"/>
              <w:bottom w:val="single" w:color="C8BFAD" w:sz="1"/>
              <w:right w:val="single" w:color="C8BFAD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1C16"/>
                <w:sz w:val="16"/>
                <w:szCs w:val="16"/>
              </w:rPr>
              <w:t xml:space="preserve">D</w:t>
            </w:r>
          </w:p>
        </w:tc>
        <w:tc>
          <w:tcPr>
            <w:tcW w:type="dxa" w:w="4646"/>
            <w:tcBorders>
              <w:top w:val="single" w:color="C8BFAD" w:sz="1"/>
              <w:left w:val="single" w:color="C8BFAD" w:sz="1"/>
              <w:bottom w:val="single" w:color="C8BFAD" w:sz="1"/>
              <w:right w:val="single" w:color="C8BFAD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1C16"/>
                <w:sz w:val="16"/>
                <w:szCs w:val="16"/>
              </w:rPr>
              <w:t xml:space="preserve">Malli olemassa, tiedonkeruuta ei ole aloitettu</w:t>
            </w:r>
          </w:p>
        </w:tc>
      </w:tr>
      <w:tr>
        <w:tc>
          <w:tcPr>
            <w:tcW w:type="dxa" w:w="4200"/>
            <w:tcBorders>
              <w:top w:val="single" w:color="C8BFAD" w:sz="1"/>
              <w:left w:val="single" w:color="C8BFAD" w:sz="1"/>
              <w:bottom w:val="single" w:color="C8BFAD" w:sz="1"/>
              <w:right w:val="single" w:color="C8BFAD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1C16"/>
                <w:sz w:val="16"/>
                <w:szCs w:val="16"/>
              </w:rPr>
              <w:t xml:space="preserve">Monen käyttäjän yhteiskäyttö</w:t>
            </w:r>
          </w:p>
        </w:tc>
        <w:tc>
          <w:tcPr>
            <w:tcW w:type="dxa" w:w="900"/>
            <w:tcBorders>
              <w:top w:val="single" w:color="C8BFAD" w:sz="1"/>
              <w:left w:val="single" w:color="C8BFAD" w:sz="1"/>
              <w:bottom w:val="single" w:color="C8BFAD" w:sz="1"/>
              <w:right w:val="single" w:color="C8BFAD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1C16"/>
                <w:sz w:val="16"/>
                <w:szCs w:val="16"/>
              </w:rPr>
              <w:t xml:space="preserve">D</w:t>
            </w:r>
          </w:p>
        </w:tc>
        <w:tc>
          <w:tcPr>
            <w:tcW w:type="dxa" w:w="4646"/>
            <w:tcBorders>
              <w:top w:val="single" w:color="C8BFAD" w:sz="1"/>
              <w:left w:val="single" w:color="C8BFAD" w:sz="1"/>
              <w:bottom w:val="single" w:color="C8BFAD" w:sz="1"/>
              <w:right w:val="single" w:color="C8BFAD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1C16"/>
                <w:sz w:val="16"/>
                <w:szCs w:val="16"/>
              </w:rPr>
              <w:t xml:space="preserve">Vaatii palvelimen — ks. luku 10</w:t>
            </w:r>
          </w:p>
        </w:tc>
      </w:tr>
    </w:tbl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211C16"/>
          <w:sz w:val="27"/>
          <w:szCs w:val="27"/>
        </w:rPr>
        <w:t xml:space="preserve">3. Integraatioarkkitehtuuri</w:t>
      </w:r>
    </w:p>
    <w:p>
      <w:pPr>
        <w:spacing w:after="11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1C16"/>
          <w:sz w:val="20"/>
          <w:szCs w:val="20"/>
        </w:rPr>
        <w:t xml:space="preserve">Periaate on yksi: yhtä tietoa ylläpidetään yhdessä paikassa. Pajakerros ei kopioi opiskelija-, kurssi- eikä kemikaalitietoa itselleen, vaan viittaa niihin. Se tuottaa vain sen tiedon, jota missään muualla ei ole: pajakohtaisen pätevyyden, materiaalitapahtuman, poikkeaman ja kuormahavainnon.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11C16"/>
          <w:sz w:val="22"/>
          <w:szCs w:val="22"/>
        </w:rPr>
        <w:t xml:space="preserve">Kerrokset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00"/>
        <w:gridCol w:w="4046"/>
      </w:tblGrid>
      <w:tr>
        <w:tc>
          <w:tcPr>
            <w:tcW w:type="dxa" w:w="2500"/>
            <w:tcBorders>
              <w:top w:val="single" w:color="C8BFAD" w:sz="1"/>
              <w:left w:val="single" w:color="C8BFAD" w:sz="1"/>
              <w:bottom w:val="single" w:color="C8BFAD" w:sz="1"/>
              <w:right w:val="single" w:color="C8BFAD" w:sz="1"/>
            </w:tcBorders>
            <w:shd w:fill="EDE7DA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11C16"/>
                <w:sz w:val="16"/>
                <w:szCs w:val="16"/>
              </w:rPr>
              <w:t xml:space="preserve">Kerros</w:t>
            </w:r>
          </w:p>
        </w:tc>
        <w:tc>
          <w:tcPr>
            <w:tcW w:type="dxa" w:w="3200"/>
            <w:tcBorders>
              <w:top w:val="single" w:color="C8BFAD" w:sz="1"/>
              <w:left w:val="single" w:color="C8BFAD" w:sz="1"/>
              <w:bottom w:val="single" w:color="C8BFAD" w:sz="1"/>
              <w:right w:val="single" w:color="C8BFAD" w:sz="1"/>
            </w:tcBorders>
            <w:shd w:fill="EDE7DA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11C16"/>
                <w:sz w:val="16"/>
                <w:szCs w:val="16"/>
              </w:rPr>
              <w:t xml:space="preserve">Metropolian järjestelmä</w:t>
            </w:r>
          </w:p>
        </w:tc>
        <w:tc>
          <w:tcPr>
            <w:tcW w:type="dxa" w:w="4046"/>
            <w:tcBorders>
              <w:top w:val="single" w:color="C8BFAD" w:sz="1"/>
              <w:left w:val="single" w:color="C8BFAD" w:sz="1"/>
              <w:bottom w:val="single" w:color="C8BFAD" w:sz="1"/>
              <w:right w:val="single" w:color="C8BFAD" w:sz="1"/>
            </w:tcBorders>
            <w:shd w:fill="EDE7DA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11C16"/>
                <w:sz w:val="16"/>
                <w:szCs w:val="16"/>
              </w:rPr>
              <w:t xml:space="preserve">Pajakerroksen suhde</w:t>
            </w:r>
          </w:p>
        </w:tc>
      </w:tr>
      <w:tr>
        <w:tc>
          <w:tcPr>
            <w:tcW w:type="dxa" w:w="2500"/>
            <w:tcBorders>
              <w:top w:val="single" w:color="C8BFAD" w:sz="1"/>
              <w:left w:val="single" w:color="C8BFAD" w:sz="1"/>
              <w:bottom w:val="single" w:color="C8BFAD" w:sz="1"/>
              <w:right w:val="single" w:color="C8BFAD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1C16"/>
                <w:sz w:val="16"/>
                <w:szCs w:val="16"/>
              </w:rPr>
              <w:t xml:space="preserve">Identiteetti</w:t>
            </w:r>
          </w:p>
        </w:tc>
        <w:tc>
          <w:tcPr>
            <w:tcW w:type="dxa" w:w="3200"/>
            <w:tcBorders>
              <w:top w:val="single" w:color="C8BFAD" w:sz="1"/>
              <w:left w:val="single" w:color="C8BFAD" w:sz="1"/>
              <w:bottom w:val="single" w:color="C8BFAD" w:sz="1"/>
              <w:right w:val="single" w:color="C8BFAD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1C16"/>
                <w:sz w:val="16"/>
                <w:szCs w:val="16"/>
              </w:rPr>
              <w:t xml:space="preserve">Entra ID / Haka</w:t>
            </w:r>
          </w:p>
        </w:tc>
        <w:tc>
          <w:tcPr>
            <w:tcW w:type="dxa" w:w="4046"/>
            <w:tcBorders>
              <w:top w:val="single" w:color="C8BFAD" w:sz="1"/>
              <w:left w:val="single" w:color="C8BFAD" w:sz="1"/>
              <w:bottom w:val="single" w:color="C8BFAD" w:sz="1"/>
              <w:right w:val="single" w:color="C8BFAD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1C16"/>
                <w:sz w:val="16"/>
                <w:szCs w:val="16"/>
              </w:rPr>
              <w:t xml:space="preserve">Lukee tunnistautumisen. Ei omia salasanoja.</w:t>
            </w:r>
          </w:p>
        </w:tc>
      </w:tr>
      <w:tr>
        <w:tc>
          <w:tcPr>
            <w:tcW w:type="dxa" w:w="2500"/>
            <w:tcBorders>
              <w:top w:val="single" w:color="C8BFAD" w:sz="1"/>
              <w:left w:val="single" w:color="C8BFAD" w:sz="1"/>
              <w:bottom w:val="single" w:color="C8BFAD" w:sz="1"/>
              <w:right w:val="single" w:color="C8BFAD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1C16"/>
                <w:sz w:val="16"/>
                <w:szCs w:val="16"/>
              </w:rPr>
              <w:t xml:space="preserve">Opintotiedot</w:t>
            </w:r>
          </w:p>
        </w:tc>
        <w:tc>
          <w:tcPr>
            <w:tcW w:type="dxa" w:w="3200"/>
            <w:tcBorders>
              <w:top w:val="single" w:color="C8BFAD" w:sz="1"/>
              <w:left w:val="single" w:color="C8BFAD" w:sz="1"/>
              <w:bottom w:val="single" w:color="C8BFAD" w:sz="1"/>
              <w:right w:val="single" w:color="C8BFAD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1C16"/>
                <w:sz w:val="16"/>
                <w:szCs w:val="16"/>
              </w:rPr>
              <w:t xml:space="preserve">Peppi</w:t>
            </w:r>
          </w:p>
        </w:tc>
        <w:tc>
          <w:tcPr>
            <w:tcW w:type="dxa" w:w="4046"/>
            <w:tcBorders>
              <w:top w:val="single" w:color="C8BFAD" w:sz="1"/>
              <w:left w:val="single" w:color="C8BFAD" w:sz="1"/>
              <w:bottom w:val="single" w:color="C8BFAD" w:sz="1"/>
              <w:right w:val="single" w:color="C8BFAD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1C16"/>
                <w:sz w:val="16"/>
                <w:szCs w:val="16"/>
              </w:rPr>
              <w:t xml:space="preserve">Lukee opiskelija-, ryhmä- ja kurssitiedot rajapinnan yli.</w:t>
            </w:r>
          </w:p>
        </w:tc>
      </w:tr>
      <w:tr>
        <w:tc>
          <w:tcPr>
            <w:tcW w:type="dxa" w:w="2500"/>
            <w:tcBorders>
              <w:top w:val="single" w:color="C8BFAD" w:sz="1"/>
              <w:left w:val="single" w:color="C8BFAD" w:sz="1"/>
              <w:bottom w:val="single" w:color="C8BFAD" w:sz="1"/>
              <w:right w:val="single" w:color="C8BFAD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1C16"/>
                <w:sz w:val="16"/>
                <w:szCs w:val="16"/>
              </w:rPr>
              <w:t xml:space="preserve">Oppimisympäristö</w:t>
            </w:r>
          </w:p>
        </w:tc>
        <w:tc>
          <w:tcPr>
            <w:tcW w:type="dxa" w:w="3200"/>
            <w:tcBorders>
              <w:top w:val="single" w:color="C8BFAD" w:sz="1"/>
              <w:left w:val="single" w:color="C8BFAD" w:sz="1"/>
              <w:bottom w:val="single" w:color="C8BFAD" w:sz="1"/>
              <w:right w:val="single" w:color="C8BFAD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1C16"/>
                <w:sz w:val="16"/>
                <w:szCs w:val="16"/>
              </w:rPr>
              <w:t xml:space="preserve">Moodle</w:t>
            </w:r>
          </w:p>
        </w:tc>
        <w:tc>
          <w:tcPr>
            <w:tcW w:type="dxa" w:w="4046"/>
            <w:tcBorders>
              <w:top w:val="single" w:color="C8BFAD" w:sz="1"/>
              <w:left w:val="single" w:color="C8BFAD" w:sz="1"/>
              <w:bottom w:val="single" w:color="C8BFAD" w:sz="1"/>
              <w:right w:val="single" w:color="C8BFAD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1C16"/>
                <w:sz w:val="16"/>
                <w:szCs w:val="16"/>
              </w:rPr>
              <w:t xml:space="preserve">Perehdytys SCORM-pakettina; suoritusmerkintä Moodleen.</w:t>
            </w:r>
          </w:p>
        </w:tc>
      </w:tr>
      <w:tr>
        <w:tc>
          <w:tcPr>
            <w:tcW w:type="dxa" w:w="2500"/>
            <w:tcBorders>
              <w:top w:val="single" w:color="C8BFAD" w:sz="1"/>
              <w:left w:val="single" w:color="C8BFAD" w:sz="1"/>
              <w:bottom w:val="single" w:color="C8BFAD" w:sz="1"/>
              <w:right w:val="single" w:color="C8BFAD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1C16"/>
                <w:sz w:val="16"/>
                <w:szCs w:val="16"/>
              </w:rPr>
              <w:t xml:space="preserve">Kemikaalit</w:t>
            </w:r>
          </w:p>
        </w:tc>
        <w:tc>
          <w:tcPr>
            <w:tcW w:type="dxa" w:w="3200"/>
            <w:tcBorders>
              <w:top w:val="single" w:color="C8BFAD" w:sz="1"/>
              <w:left w:val="single" w:color="C8BFAD" w:sz="1"/>
              <w:bottom w:val="single" w:color="C8BFAD" w:sz="1"/>
              <w:right w:val="single" w:color="C8BFAD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1C16"/>
                <w:sz w:val="16"/>
                <w:szCs w:val="16"/>
              </w:rPr>
              <w:t xml:space="preserve">PRO24 (SK Protect)</w:t>
            </w:r>
          </w:p>
        </w:tc>
        <w:tc>
          <w:tcPr>
            <w:tcW w:type="dxa" w:w="4046"/>
            <w:tcBorders>
              <w:top w:val="single" w:color="C8BFAD" w:sz="1"/>
              <w:left w:val="single" w:color="C8BFAD" w:sz="1"/>
              <w:bottom w:val="single" w:color="C8BFAD" w:sz="1"/>
              <w:right w:val="single" w:color="C8BFAD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1C16"/>
                <w:sz w:val="16"/>
                <w:szCs w:val="16"/>
              </w:rPr>
              <w:t xml:space="preserve">Virallinen rekisteri. Pajakerros linkittää ja vie aineet.</w:t>
            </w:r>
          </w:p>
        </w:tc>
      </w:tr>
      <w:tr>
        <w:tc>
          <w:tcPr>
            <w:tcW w:type="dxa" w:w="2500"/>
            <w:tcBorders>
              <w:top w:val="single" w:color="C8BFAD" w:sz="1"/>
              <w:left w:val="single" w:color="C8BFAD" w:sz="1"/>
              <w:bottom w:val="single" w:color="C8BFAD" w:sz="1"/>
              <w:right w:val="single" w:color="C8BFAD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1C16"/>
                <w:sz w:val="16"/>
                <w:szCs w:val="16"/>
              </w:rPr>
              <w:t xml:space="preserve">Tallennus</w:t>
            </w:r>
          </w:p>
        </w:tc>
        <w:tc>
          <w:tcPr>
            <w:tcW w:type="dxa" w:w="3200"/>
            <w:tcBorders>
              <w:top w:val="single" w:color="C8BFAD" w:sz="1"/>
              <w:left w:val="single" w:color="C8BFAD" w:sz="1"/>
              <w:bottom w:val="single" w:color="C8BFAD" w:sz="1"/>
              <w:right w:val="single" w:color="C8BFAD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1C16"/>
                <w:sz w:val="16"/>
                <w:szCs w:val="16"/>
              </w:rPr>
              <w:t xml:space="preserve">M365 / SharePoint / Dataverse</w:t>
            </w:r>
          </w:p>
        </w:tc>
        <w:tc>
          <w:tcPr>
            <w:tcW w:type="dxa" w:w="4046"/>
            <w:tcBorders>
              <w:top w:val="single" w:color="C8BFAD" w:sz="1"/>
              <w:left w:val="single" w:color="C8BFAD" w:sz="1"/>
              <w:bottom w:val="single" w:color="C8BFAD" w:sz="1"/>
              <w:right w:val="single" w:color="C8BFAD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1C16"/>
                <w:sz w:val="16"/>
                <w:szCs w:val="16"/>
              </w:rPr>
              <w:t xml:space="preserve">Ajokortti-, tapahtuma- ja poikkeamatiedot.</w:t>
            </w:r>
          </w:p>
        </w:tc>
      </w:tr>
      <w:tr>
        <w:tc>
          <w:tcPr>
            <w:tcW w:type="dxa" w:w="2500"/>
            <w:tcBorders>
              <w:top w:val="single" w:color="C8BFAD" w:sz="1"/>
              <w:left w:val="single" w:color="C8BFAD" w:sz="1"/>
              <w:bottom w:val="single" w:color="C8BFAD" w:sz="1"/>
              <w:right w:val="single" w:color="C8BFAD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1C16"/>
                <w:sz w:val="16"/>
                <w:szCs w:val="16"/>
              </w:rPr>
              <w:t xml:space="preserve">Tilavaraus</w:t>
            </w:r>
          </w:p>
        </w:tc>
        <w:tc>
          <w:tcPr>
            <w:tcW w:type="dxa" w:w="3200"/>
            <w:tcBorders>
              <w:top w:val="single" w:color="C8BFAD" w:sz="1"/>
              <w:left w:val="single" w:color="C8BFAD" w:sz="1"/>
              <w:bottom w:val="single" w:color="C8BFAD" w:sz="1"/>
              <w:right w:val="single" w:color="C8BFAD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1C16"/>
                <w:sz w:val="16"/>
                <w:szCs w:val="16"/>
              </w:rPr>
              <w:t xml:space="preserve">Asio / Outlook</w:t>
            </w:r>
          </w:p>
        </w:tc>
        <w:tc>
          <w:tcPr>
            <w:tcW w:type="dxa" w:w="4046"/>
            <w:tcBorders>
              <w:top w:val="single" w:color="C8BFAD" w:sz="1"/>
              <w:left w:val="single" w:color="C8BFAD" w:sz="1"/>
              <w:bottom w:val="single" w:color="C8BFAD" w:sz="1"/>
              <w:right w:val="single" w:color="C8BFAD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1C16"/>
                <w:sz w:val="16"/>
                <w:szCs w:val="16"/>
              </w:rPr>
              <w:t xml:space="preserve">Luetaan; pajakerros ei ylläpidä omaa varausjärjestelmää.</w:t>
            </w:r>
          </w:p>
        </w:tc>
      </w:tr>
      <w:tr>
        <w:tc>
          <w:tcPr>
            <w:tcW w:type="dxa" w:w="2500"/>
            <w:tcBorders>
              <w:top w:val="single" w:color="C8BFAD" w:sz="1"/>
              <w:left w:val="single" w:color="C8BFAD" w:sz="1"/>
              <w:bottom w:val="single" w:color="C8BFAD" w:sz="1"/>
              <w:right w:val="single" w:color="C8BFAD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1C16"/>
                <w:sz w:val="16"/>
                <w:szCs w:val="16"/>
              </w:rPr>
              <w:t xml:space="preserve">Raportointi</w:t>
            </w:r>
          </w:p>
        </w:tc>
        <w:tc>
          <w:tcPr>
            <w:tcW w:type="dxa" w:w="3200"/>
            <w:tcBorders>
              <w:top w:val="single" w:color="C8BFAD" w:sz="1"/>
              <w:left w:val="single" w:color="C8BFAD" w:sz="1"/>
              <w:bottom w:val="single" w:color="C8BFAD" w:sz="1"/>
              <w:right w:val="single" w:color="C8BFAD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1C16"/>
                <w:sz w:val="16"/>
                <w:szCs w:val="16"/>
              </w:rPr>
              <w:t xml:space="preserve">Tiedolla johtamisen ympäristö</w:t>
            </w:r>
          </w:p>
        </w:tc>
        <w:tc>
          <w:tcPr>
            <w:tcW w:type="dxa" w:w="4046"/>
            <w:tcBorders>
              <w:top w:val="single" w:color="C8BFAD" w:sz="1"/>
              <w:left w:val="single" w:color="C8BFAD" w:sz="1"/>
              <w:bottom w:val="single" w:color="C8BFAD" w:sz="1"/>
              <w:right w:val="single" w:color="C8BFAD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1C16"/>
                <w:sz w:val="16"/>
                <w:szCs w:val="16"/>
              </w:rPr>
              <w:t xml:space="preserve">Vie koosteet; ei omaa raportointialustaa.</w:t>
            </w:r>
          </w:p>
        </w:tc>
      </w:tr>
    </w:tbl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11C16"/>
          <w:sz w:val="22"/>
          <w:szCs w:val="22"/>
        </w:rPr>
        <w:t xml:space="preserve">Järjestelmäkohtainen integraatiotaulukko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500"/>
        <w:gridCol w:w="2600"/>
        <w:gridCol w:w="1700"/>
        <w:gridCol w:w="1846"/>
      </w:tblGrid>
      <w:tr>
        <w:tc>
          <w:tcPr>
            <w:tcW w:type="dxa" w:w="2100"/>
            <w:tcBorders>
              <w:top w:val="single" w:color="C8BFAD" w:sz="1"/>
              <w:left w:val="single" w:color="C8BFAD" w:sz="1"/>
              <w:bottom w:val="single" w:color="C8BFAD" w:sz="1"/>
              <w:right w:val="single" w:color="C8BFAD" w:sz="1"/>
            </w:tcBorders>
            <w:shd w:fill="EDE7DA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11C16"/>
                <w:sz w:val="15"/>
                <w:szCs w:val="15"/>
              </w:rPr>
              <w:t xml:space="preserve">Järjestelmä</w:t>
            </w:r>
          </w:p>
        </w:tc>
        <w:tc>
          <w:tcPr>
            <w:tcW w:type="dxa" w:w="1500"/>
            <w:tcBorders>
              <w:top w:val="single" w:color="C8BFAD" w:sz="1"/>
              <w:left w:val="single" w:color="C8BFAD" w:sz="1"/>
              <w:bottom w:val="single" w:color="C8BFAD" w:sz="1"/>
              <w:right w:val="single" w:color="C8BFAD" w:sz="1"/>
            </w:tcBorders>
            <w:shd w:fill="EDE7DA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11C16"/>
                <w:sz w:val="15"/>
                <w:szCs w:val="15"/>
              </w:rPr>
              <w:t xml:space="preserve">Suunta</w:t>
            </w:r>
          </w:p>
        </w:tc>
        <w:tc>
          <w:tcPr>
            <w:tcW w:type="dxa" w:w="2600"/>
            <w:tcBorders>
              <w:top w:val="single" w:color="C8BFAD" w:sz="1"/>
              <w:left w:val="single" w:color="C8BFAD" w:sz="1"/>
              <w:bottom w:val="single" w:color="C8BFAD" w:sz="1"/>
              <w:right w:val="single" w:color="C8BFAD" w:sz="1"/>
            </w:tcBorders>
            <w:shd w:fill="EDE7DA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11C16"/>
                <w:sz w:val="15"/>
                <w:szCs w:val="15"/>
              </w:rPr>
              <w:t xml:space="preserve">Data</w:t>
            </w:r>
          </w:p>
        </w:tc>
        <w:tc>
          <w:tcPr>
            <w:tcW w:type="dxa" w:w="1700"/>
            <w:tcBorders>
              <w:top w:val="single" w:color="C8BFAD" w:sz="1"/>
              <w:left w:val="single" w:color="C8BFAD" w:sz="1"/>
              <w:bottom w:val="single" w:color="C8BFAD" w:sz="1"/>
              <w:right w:val="single" w:color="C8BFAD" w:sz="1"/>
            </w:tcBorders>
            <w:shd w:fill="EDE7DA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11C16"/>
                <w:sz w:val="15"/>
                <w:szCs w:val="15"/>
              </w:rPr>
              <w:t xml:space="preserve">Rajapinta</w:t>
            </w:r>
          </w:p>
        </w:tc>
        <w:tc>
          <w:tcPr>
            <w:tcW w:type="dxa" w:w="1846"/>
            <w:tcBorders>
              <w:top w:val="single" w:color="C8BFAD" w:sz="1"/>
              <w:left w:val="single" w:color="C8BFAD" w:sz="1"/>
              <w:bottom w:val="single" w:color="C8BFAD" w:sz="1"/>
              <w:right w:val="single" w:color="C8BFAD" w:sz="1"/>
            </w:tcBorders>
            <w:shd w:fill="EDE7DA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11C16"/>
                <w:sz w:val="15"/>
                <w:szCs w:val="15"/>
              </w:rPr>
              <w:t xml:space="preserve">Tila</w:t>
            </w:r>
          </w:p>
        </w:tc>
      </w:tr>
      <w:tr>
        <w:tc>
          <w:tcPr>
            <w:tcW w:type="dxa" w:w="2100"/>
            <w:tcBorders>
              <w:top w:val="single" w:color="C8BFAD" w:sz="1"/>
              <w:left w:val="single" w:color="C8BFAD" w:sz="1"/>
              <w:bottom w:val="single" w:color="C8BFAD" w:sz="1"/>
              <w:right w:val="single" w:color="C8BFAD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1C16"/>
                <w:sz w:val="15"/>
                <w:szCs w:val="15"/>
              </w:rPr>
              <w:t xml:space="preserve">Entra ID / Haka</w:t>
            </w:r>
          </w:p>
        </w:tc>
        <w:tc>
          <w:tcPr>
            <w:tcW w:type="dxa" w:w="1500"/>
            <w:tcBorders>
              <w:top w:val="single" w:color="C8BFAD" w:sz="1"/>
              <w:left w:val="single" w:color="C8BFAD" w:sz="1"/>
              <w:bottom w:val="single" w:color="C8BFAD" w:sz="1"/>
              <w:right w:val="single" w:color="C8BFAD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1C16"/>
                <w:sz w:val="15"/>
                <w:szCs w:val="15"/>
              </w:rPr>
              <w:t xml:space="preserve">Sisään</w:t>
            </w:r>
          </w:p>
        </w:tc>
        <w:tc>
          <w:tcPr>
            <w:tcW w:type="dxa" w:w="2600"/>
            <w:tcBorders>
              <w:top w:val="single" w:color="C8BFAD" w:sz="1"/>
              <w:left w:val="single" w:color="C8BFAD" w:sz="1"/>
              <w:bottom w:val="single" w:color="C8BFAD" w:sz="1"/>
              <w:right w:val="single" w:color="C8BFAD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1C16"/>
                <w:sz w:val="15"/>
                <w:szCs w:val="15"/>
              </w:rPr>
              <w:t xml:space="preserve">Tunnistus, rooli</w:t>
            </w:r>
          </w:p>
        </w:tc>
        <w:tc>
          <w:tcPr>
            <w:tcW w:type="dxa" w:w="1700"/>
            <w:tcBorders>
              <w:top w:val="single" w:color="C8BFAD" w:sz="1"/>
              <w:left w:val="single" w:color="C8BFAD" w:sz="1"/>
              <w:bottom w:val="single" w:color="C8BFAD" w:sz="1"/>
              <w:right w:val="single" w:color="C8BFAD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1C16"/>
                <w:sz w:val="15"/>
                <w:szCs w:val="15"/>
              </w:rPr>
              <w:t xml:space="preserve">OIDC / SAML</w:t>
            </w:r>
          </w:p>
        </w:tc>
        <w:tc>
          <w:tcPr>
            <w:tcW w:type="dxa" w:w="1846"/>
            <w:tcBorders>
              <w:top w:val="single" w:color="C8BFAD" w:sz="1"/>
              <w:left w:val="single" w:color="C8BFAD" w:sz="1"/>
              <w:bottom w:val="single" w:color="C8BFAD" w:sz="1"/>
              <w:right w:val="single" w:color="C8BFAD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1C16"/>
                <w:sz w:val="15"/>
                <w:szCs w:val="15"/>
              </w:rPr>
              <w:t xml:space="preserve">Selvitettävä</w:t>
            </w:r>
          </w:p>
        </w:tc>
      </w:tr>
      <w:tr>
        <w:tc>
          <w:tcPr>
            <w:tcW w:type="dxa" w:w="2100"/>
            <w:tcBorders>
              <w:top w:val="single" w:color="C8BFAD" w:sz="1"/>
              <w:left w:val="single" w:color="C8BFAD" w:sz="1"/>
              <w:bottom w:val="single" w:color="C8BFAD" w:sz="1"/>
              <w:right w:val="single" w:color="C8BFAD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1C16"/>
                <w:sz w:val="15"/>
                <w:szCs w:val="15"/>
              </w:rPr>
              <w:t xml:space="preserve">Peppi</w:t>
            </w:r>
          </w:p>
        </w:tc>
        <w:tc>
          <w:tcPr>
            <w:tcW w:type="dxa" w:w="1500"/>
            <w:tcBorders>
              <w:top w:val="single" w:color="C8BFAD" w:sz="1"/>
              <w:left w:val="single" w:color="C8BFAD" w:sz="1"/>
              <w:bottom w:val="single" w:color="C8BFAD" w:sz="1"/>
              <w:right w:val="single" w:color="C8BFAD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1C16"/>
                <w:sz w:val="15"/>
                <w:szCs w:val="15"/>
              </w:rPr>
              <w:t xml:space="preserve">Sisään</w:t>
            </w:r>
          </w:p>
        </w:tc>
        <w:tc>
          <w:tcPr>
            <w:tcW w:type="dxa" w:w="2600"/>
            <w:tcBorders>
              <w:top w:val="single" w:color="C8BFAD" w:sz="1"/>
              <w:left w:val="single" w:color="C8BFAD" w:sz="1"/>
              <w:bottom w:val="single" w:color="C8BFAD" w:sz="1"/>
              <w:right w:val="single" w:color="C8BFAD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1C16"/>
                <w:sz w:val="15"/>
                <w:szCs w:val="15"/>
              </w:rPr>
              <w:t xml:space="preserve">Opiskelija, ryhmä, kurssi, ilmoittautuminen</w:t>
            </w:r>
          </w:p>
        </w:tc>
        <w:tc>
          <w:tcPr>
            <w:tcW w:type="dxa" w:w="1700"/>
            <w:tcBorders>
              <w:top w:val="single" w:color="C8BFAD" w:sz="1"/>
              <w:left w:val="single" w:color="C8BFAD" w:sz="1"/>
              <w:bottom w:val="single" w:color="C8BFAD" w:sz="1"/>
              <w:right w:val="single" w:color="C8BFAD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1C16"/>
                <w:sz w:val="15"/>
                <w:szCs w:val="15"/>
              </w:rPr>
              <w:t xml:space="preserve">REST</w:t>
            </w:r>
          </w:p>
        </w:tc>
        <w:tc>
          <w:tcPr>
            <w:tcW w:type="dxa" w:w="1846"/>
            <w:tcBorders>
              <w:top w:val="single" w:color="C8BFAD" w:sz="1"/>
              <w:left w:val="single" w:color="C8BFAD" w:sz="1"/>
              <w:bottom w:val="single" w:color="C8BFAD" w:sz="1"/>
              <w:right w:val="single" w:color="C8BFAD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1C16"/>
                <w:sz w:val="15"/>
                <w:szCs w:val="15"/>
              </w:rPr>
              <w:t xml:space="preserve">Peppi tarjoaa avoimet rajapinnat</w:t>
            </w:r>
          </w:p>
        </w:tc>
      </w:tr>
      <w:tr>
        <w:tc>
          <w:tcPr>
            <w:tcW w:type="dxa" w:w="2100"/>
            <w:tcBorders>
              <w:top w:val="single" w:color="C8BFAD" w:sz="1"/>
              <w:left w:val="single" w:color="C8BFAD" w:sz="1"/>
              <w:bottom w:val="single" w:color="C8BFAD" w:sz="1"/>
              <w:right w:val="single" w:color="C8BFAD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1C16"/>
                <w:sz w:val="15"/>
                <w:szCs w:val="15"/>
              </w:rPr>
              <w:t xml:space="preserve">Moodle</w:t>
            </w:r>
          </w:p>
        </w:tc>
        <w:tc>
          <w:tcPr>
            <w:tcW w:type="dxa" w:w="1500"/>
            <w:tcBorders>
              <w:top w:val="single" w:color="C8BFAD" w:sz="1"/>
              <w:left w:val="single" w:color="C8BFAD" w:sz="1"/>
              <w:bottom w:val="single" w:color="C8BFAD" w:sz="1"/>
              <w:right w:val="single" w:color="C8BFAD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1C16"/>
                <w:sz w:val="15"/>
                <w:szCs w:val="15"/>
              </w:rPr>
              <w:t xml:space="preserve">Molemmat</w:t>
            </w:r>
          </w:p>
        </w:tc>
        <w:tc>
          <w:tcPr>
            <w:tcW w:type="dxa" w:w="2600"/>
            <w:tcBorders>
              <w:top w:val="single" w:color="C8BFAD" w:sz="1"/>
              <w:left w:val="single" w:color="C8BFAD" w:sz="1"/>
              <w:bottom w:val="single" w:color="C8BFAD" w:sz="1"/>
              <w:right w:val="single" w:color="C8BFAD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1C16"/>
                <w:sz w:val="15"/>
                <w:szCs w:val="15"/>
              </w:rPr>
              <w:t xml:space="preserve">Perehdytyksen suoritus, pistemäärä</w:t>
            </w:r>
          </w:p>
        </w:tc>
        <w:tc>
          <w:tcPr>
            <w:tcW w:type="dxa" w:w="1700"/>
            <w:tcBorders>
              <w:top w:val="single" w:color="C8BFAD" w:sz="1"/>
              <w:left w:val="single" w:color="C8BFAD" w:sz="1"/>
              <w:bottom w:val="single" w:color="C8BFAD" w:sz="1"/>
              <w:right w:val="single" w:color="C8BFAD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1C16"/>
                <w:sz w:val="15"/>
                <w:szCs w:val="15"/>
              </w:rPr>
              <w:t xml:space="preserve">SCORM 1.2, myöh. LTI</w:t>
            </w:r>
          </w:p>
        </w:tc>
        <w:tc>
          <w:tcPr>
            <w:tcW w:type="dxa" w:w="1846"/>
            <w:tcBorders>
              <w:top w:val="single" w:color="C8BFAD" w:sz="1"/>
              <w:left w:val="single" w:color="C8BFAD" w:sz="1"/>
              <w:bottom w:val="single" w:color="C8BFAD" w:sz="1"/>
              <w:right w:val="single" w:color="C8BFAD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1C16"/>
                <w:sz w:val="15"/>
                <w:szCs w:val="15"/>
              </w:rPr>
              <w:t xml:space="preserve">Paketti valmis</w:t>
            </w:r>
          </w:p>
        </w:tc>
      </w:tr>
      <w:tr>
        <w:tc>
          <w:tcPr>
            <w:tcW w:type="dxa" w:w="2100"/>
            <w:tcBorders>
              <w:top w:val="single" w:color="C8BFAD" w:sz="1"/>
              <w:left w:val="single" w:color="C8BFAD" w:sz="1"/>
              <w:bottom w:val="single" w:color="C8BFAD" w:sz="1"/>
              <w:right w:val="single" w:color="C8BFAD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1C16"/>
                <w:sz w:val="15"/>
                <w:szCs w:val="15"/>
              </w:rPr>
              <w:t xml:space="preserve">PRO24</w:t>
            </w:r>
          </w:p>
        </w:tc>
        <w:tc>
          <w:tcPr>
            <w:tcW w:type="dxa" w:w="1500"/>
            <w:tcBorders>
              <w:top w:val="single" w:color="C8BFAD" w:sz="1"/>
              <w:left w:val="single" w:color="C8BFAD" w:sz="1"/>
              <w:bottom w:val="single" w:color="C8BFAD" w:sz="1"/>
              <w:right w:val="single" w:color="C8BFAD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1C16"/>
                <w:sz w:val="15"/>
                <w:szCs w:val="15"/>
              </w:rPr>
              <w:t xml:space="preserve">Ulos</w:t>
            </w:r>
          </w:p>
        </w:tc>
        <w:tc>
          <w:tcPr>
            <w:tcW w:type="dxa" w:w="2600"/>
            <w:tcBorders>
              <w:top w:val="single" w:color="C8BFAD" w:sz="1"/>
              <w:left w:val="single" w:color="C8BFAD" w:sz="1"/>
              <w:bottom w:val="single" w:color="C8BFAD" w:sz="1"/>
              <w:right w:val="single" w:color="C8BFAD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1C16"/>
                <w:sz w:val="15"/>
                <w:szCs w:val="15"/>
              </w:rPr>
              <w:t xml:space="preserve">Kemikaalit, säilytys- ja käyttöpaikat</w:t>
            </w:r>
          </w:p>
        </w:tc>
        <w:tc>
          <w:tcPr>
            <w:tcW w:type="dxa" w:w="1700"/>
            <w:tcBorders>
              <w:top w:val="single" w:color="C8BFAD" w:sz="1"/>
              <w:left w:val="single" w:color="C8BFAD" w:sz="1"/>
              <w:bottom w:val="single" w:color="C8BFAD" w:sz="1"/>
              <w:right w:val="single" w:color="C8BFAD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1C16"/>
                <w:sz w:val="15"/>
                <w:szCs w:val="15"/>
              </w:rPr>
              <w:t xml:space="preserve">CSV-tuonti; API selvitettävä</w:t>
            </w:r>
          </w:p>
        </w:tc>
        <w:tc>
          <w:tcPr>
            <w:tcW w:type="dxa" w:w="1846"/>
            <w:tcBorders>
              <w:top w:val="single" w:color="C8BFAD" w:sz="1"/>
              <w:left w:val="single" w:color="C8BFAD" w:sz="1"/>
              <w:bottom w:val="single" w:color="C8BFAD" w:sz="1"/>
              <w:right w:val="single" w:color="C8BFAD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1C16"/>
                <w:sz w:val="15"/>
                <w:szCs w:val="15"/>
              </w:rPr>
              <w:t xml:space="preserve">Tiedostovienti toimii</w:t>
            </w:r>
          </w:p>
        </w:tc>
      </w:tr>
      <w:tr>
        <w:tc>
          <w:tcPr>
            <w:tcW w:type="dxa" w:w="2100"/>
            <w:tcBorders>
              <w:top w:val="single" w:color="C8BFAD" w:sz="1"/>
              <w:left w:val="single" w:color="C8BFAD" w:sz="1"/>
              <w:bottom w:val="single" w:color="C8BFAD" w:sz="1"/>
              <w:right w:val="single" w:color="C8BFAD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1C16"/>
                <w:sz w:val="15"/>
                <w:szCs w:val="15"/>
              </w:rPr>
              <w:t xml:space="preserve">M365 / SharePoint</w:t>
            </w:r>
          </w:p>
        </w:tc>
        <w:tc>
          <w:tcPr>
            <w:tcW w:type="dxa" w:w="1500"/>
            <w:tcBorders>
              <w:top w:val="single" w:color="C8BFAD" w:sz="1"/>
              <w:left w:val="single" w:color="C8BFAD" w:sz="1"/>
              <w:bottom w:val="single" w:color="C8BFAD" w:sz="1"/>
              <w:right w:val="single" w:color="C8BFAD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1C16"/>
                <w:sz w:val="15"/>
                <w:szCs w:val="15"/>
              </w:rPr>
              <w:t xml:space="preserve">Molemmat</w:t>
            </w:r>
          </w:p>
        </w:tc>
        <w:tc>
          <w:tcPr>
            <w:tcW w:type="dxa" w:w="2600"/>
            <w:tcBorders>
              <w:top w:val="single" w:color="C8BFAD" w:sz="1"/>
              <w:left w:val="single" w:color="C8BFAD" w:sz="1"/>
              <w:bottom w:val="single" w:color="C8BFAD" w:sz="1"/>
              <w:right w:val="single" w:color="C8BFAD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1C16"/>
                <w:sz w:val="15"/>
                <w:szCs w:val="15"/>
              </w:rPr>
              <w:t xml:space="preserve">Ajokortit, tapahtumat, poikkeamat</w:t>
            </w:r>
          </w:p>
        </w:tc>
        <w:tc>
          <w:tcPr>
            <w:tcW w:type="dxa" w:w="1700"/>
            <w:tcBorders>
              <w:top w:val="single" w:color="C8BFAD" w:sz="1"/>
              <w:left w:val="single" w:color="C8BFAD" w:sz="1"/>
              <w:bottom w:val="single" w:color="C8BFAD" w:sz="1"/>
              <w:right w:val="single" w:color="C8BFAD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1C16"/>
                <w:sz w:val="15"/>
                <w:szCs w:val="15"/>
              </w:rPr>
              <w:t xml:space="preserve">Graph API / lista</w:t>
            </w:r>
          </w:p>
        </w:tc>
        <w:tc>
          <w:tcPr>
            <w:tcW w:type="dxa" w:w="1846"/>
            <w:tcBorders>
              <w:top w:val="single" w:color="C8BFAD" w:sz="1"/>
              <w:left w:val="single" w:color="C8BFAD" w:sz="1"/>
              <w:bottom w:val="single" w:color="C8BFAD" w:sz="1"/>
              <w:right w:val="single" w:color="C8BFAD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1C16"/>
                <w:sz w:val="15"/>
                <w:szCs w:val="15"/>
              </w:rPr>
              <w:t xml:space="preserve">Päätös tarvitaan</w:t>
            </w:r>
          </w:p>
        </w:tc>
      </w:tr>
      <w:tr>
        <w:tc>
          <w:tcPr>
            <w:tcW w:type="dxa" w:w="2100"/>
            <w:tcBorders>
              <w:top w:val="single" w:color="C8BFAD" w:sz="1"/>
              <w:left w:val="single" w:color="C8BFAD" w:sz="1"/>
              <w:bottom w:val="single" w:color="C8BFAD" w:sz="1"/>
              <w:right w:val="single" w:color="C8BFAD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1C16"/>
                <w:sz w:val="15"/>
                <w:szCs w:val="15"/>
              </w:rPr>
              <w:t xml:space="preserve">Asio / Outlook</w:t>
            </w:r>
          </w:p>
        </w:tc>
        <w:tc>
          <w:tcPr>
            <w:tcW w:type="dxa" w:w="1500"/>
            <w:tcBorders>
              <w:top w:val="single" w:color="C8BFAD" w:sz="1"/>
              <w:left w:val="single" w:color="C8BFAD" w:sz="1"/>
              <w:bottom w:val="single" w:color="C8BFAD" w:sz="1"/>
              <w:right w:val="single" w:color="C8BFAD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1C16"/>
                <w:sz w:val="15"/>
                <w:szCs w:val="15"/>
              </w:rPr>
              <w:t xml:space="preserve">Sisään</w:t>
            </w:r>
          </w:p>
        </w:tc>
        <w:tc>
          <w:tcPr>
            <w:tcW w:type="dxa" w:w="2600"/>
            <w:tcBorders>
              <w:top w:val="single" w:color="C8BFAD" w:sz="1"/>
              <w:left w:val="single" w:color="C8BFAD" w:sz="1"/>
              <w:bottom w:val="single" w:color="C8BFAD" w:sz="1"/>
              <w:right w:val="single" w:color="C8BFAD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1C16"/>
                <w:sz w:val="15"/>
                <w:szCs w:val="15"/>
              </w:rPr>
              <w:t xml:space="preserve">Tilavaraukset</w:t>
            </w:r>
          </w:p>
        </w:tc>
        <w:tc>
          <w:tcPr>
            <w:tcW w:type="dxa" w:w="1700"/>
            <w:tcBorders>
              <w:top w:val="single" w:color="C8BFAD" w:sz="1"/>
              <w:left w:val="single" w:color="C8BFAD" w:sz="1"/>
              <w:bottom w:val="single" w:color="C8BFAD" w:sz="1"/>
              <w:right w:val="single" w:color="C8BFAD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1C16"/>
                <w:sz w:val="15"/>
                <w:szCs w:val="15"/>
              </w:rPr>
              <w:t xml:space="preserve">Kalenterirajapinta</w:t>
            </w:r>
          </w:p>
        </w:tc>
        <w:tc>
          <w:tcPr>
            <w:tcW w:type="dxa" w:w="1846"/>
            <w:tcBorders>
              <w:top w:val="single" w:color="C8BFAD" w:sz="1"/>
              <w:left w:val="single" w:color="C8BFAD" w:sz="1"/>
              <w:bottom w:val="single" w:color="C8BFAD" w:sz="1"/>
              <w:right w:val="single" w:color="C8BFAD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1C16"/>
                <w:sz w:val="15"/>
                <w:szCs w:val="15"/>
              </w:rPr>
              <w:t xml:space="preserve">Selvitettävä</w:t>
            </w:r>
          </w:p>
        </w:tc>
      </w:tr>
      <w:tr>
        <w:tc>
          <w:tcPr>
            <w:tcW w:type="dxa" w:w="2100"/>
            <w:tcBorders>
              <w:top w:val="single" w:color="C8BFAD" w:sz="1"/>
              <w:left w:val="single" w:color="C8BFAD" w:sz="1"/>
              <w:bottom w:val="single" w:color="C8BFAD" w:sz="1"/>
              <w:right w:val="single" w:color="C8BFAD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1C16"/>
                <w:sz w:val="15"/>
                <w:szCs w:val="15"/>
              </w:rPr>
              <w:t xml:space="preserve">KOSKI / VIRTA</w:t>
            </w:r>
          </w:p>
        </w:tc>
        <w:tc>
          <w:tcPr>
            <w:tcW w:type="dxa" w:w="1500"/>
            <w:tcBorders>
              <w:top w:val="single" w:color="C8BFAD" w:sz="1"/>
              <w:left w:val="single" w:color="C8BFAD" w:sz="1"/>
              <w:bottom w:val="single" w:color="C8BFAD" w:sz="1"/>
              <w:right w:val="single" w:color="C8BFAD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1C16"/>
                <w:sz w:val="15"/>
                <w:szCs w:val="15"/>
              </w:rPr>
              <w:t xml:space="preserve">—</w:t>
            </w:r>
          </w:p>
        </w:tc>
        <w:tc>
          <w:tcPr>
            <w:tcW w:type="dxa" w:w="2600"/>
            <w:tcBorders>
              <w:top w:val="single" w:color="C8BFAD" w:sz="1"/>
              <w:left w:val="single" w:color="C8BFAD" w:sz="1"/>
              <w:bottom w:val="single" w:color="C8BFAD" w:sz="1"/>
              <w:right w:val="single" w:color="C8BFAD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1C16"/>
                <w:sz w:val="15"/>
                <w:szCs w:val="15"/>
              </w:rPr>
              <w:t xml:space="preserve">Ei käsitellä</w:t>
            </w:r>
          </w:p>
        </w:tc>
        <w:tc>
          <w:tcPr>
            <w:tcW w:type="dxa" w:w="1700"/>
            <w:tcBorders>
              <w:top w:val="single" w:color="C8BFAD" w:sz="1"/>
              <w:left w:val="single" w:color="C8BFAD" w:sz="1"/>
              <w:bottom w:val="single" w:color="C8BFAD" w:sz="1"/>
              <w:right w:val="single" w:color="C8BFAD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1C16"/>
                <w:sz w:val="15"/>
                <w:szCs w:val="15"/>
              </w:rPr>
              <w:t xml:space="preserve">—</w:t>
            </w:r>
          </w:p>
        </w:tc>
        <w:tc>
          <w:tcPr>
            <w:tcW w:type="dxa" w:w="1846"/>
            <w:tcBorders>
              <w:top w:val="single" w:color="C8BFAD" w:sz="1"/>
              <w:left w:val="single" w:color="C8BFAD" w:sz="1"/>
              <w:bottom w:val="single" w:color="C8BFAD" w:sz="1"/>
              <w:right w:val="single" w:color="C8BFAD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1C16"/>
                <w:sz w:val="15"/>
                <w:szCs w:val="15"/>
              </w:rPr>
              <w:t xml:space="preserve">Ei tarvetta</w:t>
            </w:r>
          </w:p>
        </w:tc>
      </w:tr>
    </w:tbl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211C16"/>
          <w:sz w:val="27"/>
          <w:szCs w:val="27"/>
        </w:rPr>
        <w:t xml:space="preserve">4. Tietoarkkitehtuuri ja avoin datamalli</w:t>
      </w:r>
    </w:p>
    <w:p>
      <w:pPr>
        <w:spacing w:after="11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1C16"/>
          <w:sz w:val="20"/>
          <w:szCs w:val="20"/>
        </w:rPr>
        <w:t xml:space="preserve">Pajakerroksen oma tieto on kuvattu avoimena mallina (IKM v0.1), jotta se ei jää yhden toteutuksen sisään. Malli on tarkoituksella karkea ja siksi käyttöönotettava.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1C16"/>
          <w:sz w:val="20"/>
          <w:szCs w:val="20"/>
        </w:rPr>
        <w:t xml:space="preserve">Kyvykkyys: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11C16"/>
          <w:sz w:val="20"/>
          <w:szCs w:val="20"/>
        </w:rPr>
        <w:t xml:space="preserve">neljä tasoa — havainnoitu, ohjattu, itsenäinen, ohjaava. Itsenäinen tarkoittaa voimassa olevaa paja-ajokorttia.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1C16"/>
          <w:sz w:val="20"/>
          <w:szCs w:val="20"/>
        </w:rPr>
        <w:t xml:space="preserve">Kuorma: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11C16"/>
          <w:sz w:val="20"/>
          <w:szCs w:val="20"/>
        </w:rPr>
        <w:t xml:space="preserve">liikennevalo vihreä, keltainen, punainen. Ei numeerista pisteytystä, ei terveystietoa.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1C16"/>
          <w:sz w:val="20"/>
          <w:szCs w:val="20"/>
        </w:rPr>
        <w:t xml:space="preserve">Tehtäväympäristö: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11C16"/>
          <w:sz w:val="20"/>
          <w:szCs w:val="20"/>
        </w:rPr>
        <w:t xml:space="preserve">vaaditut kyvykkyydet, vaativuus, valvontasuhde.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1C16"/>
          <w:sz w:val="20"/>
          <w:szCs w:val="20"/>
        </w:rPr>
        <w:t xml:space="preserve">Sovitus: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11C16"/>
          <w:sz w:val="20"/>
          <w:szCs w:val="20"/>
        </w:rPr>
        <w:t xml:space="preserve">suositus — anna tehtäväksi, tue, siirrä, lisää miehitystä.</w:t>
      </w:r>
    </w:p>
    <w:p>
      <w:pPr>
        <w:spacing w:after="11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1C16"/>
          <w:sz w:val="20"/>
          <w:szCs w:val="20"/>
        </w:rPr>
        <w:t xml:space="preserve">Yhteentoimivuus rakennetaan olemassa oleville standardeille: kuormatapahtumat xAPI-muodossa, kyvykkyydet Open Badges / CLR -muodossa, identiteetti ja opintotiedot viittauksina. Ulos vietävä data on pseudonyymiä; nimet pysyvät Metropolian omissa järjestelmissä.</w:t>
      </w:r>
    </w:p>
    <w:p>
      <w:pPr>
        <w:spacing w:after="11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1C16"/>
          <w:sz w:val="20"/>
          <w:szCs w:val="20"/>
        </w:rPr>
        <w:t xml:space="preserve">Kyvykkyyksien sanasto on määritelty pajakohtaisesti (esimerkiksi cnc.bacci, laser.co2, chem.handling, wood.machines). Sanasto on julkaistavissa avoimena, jolloin sitä voidaan käyttää myös muissa oppilaitoksissa.</w:t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211C16"/>
          <w:sz w:val="27"/>
          <w:szCs w:val="27"/>
        </w:rPr>
        <w:t xml:space="preserve">5. Vaikutus oppimisympäristöön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11C16"/>
          <w:sz w:val="22"/>
          <w:szCs w:val="22"/>
        </w:rPr>
        <w:t xml:space="preserve">Pedagoginen perusta</w:t>
      </w:r>
    </w:p>
    <w:p>
      <w:pPr>
        <w:spacing w:after="11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1C16"/>
          <w:sz w:val="20"/>
          <w:szCs w:val="20"/>
        </w:rPr>
        <w:t xml:space="preserve">Ratkaisu nojaa kolmeen vakiintuneeseen periaatteeseen, jotka on käännetty järjestelmän rakenteeksi eikä jätetty julkilausumaksi.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i w:val="false"/>
          <w:iCs w:val="false"/>
          <w:color w:val="211C16"/>
          <w:sz w:val="20"/>
          <w:szCs w:val="20"/>
        </w:rPr>
        <w:t xml:space="preserve">Kognitiivisen kuorman hallinta.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11C16"/>
          <w:sz w:val="20"/>
          <w:szCs w:val="20"/>
        </w:rPr>
        <w:t xml:space="preserve">Ensimmäisen vuoden opiskelijalle pajaympäristö on kuormittava: melu, vaara, uudet koneet, sosiaalinen paine. Järjestelmä pilkkoo tiedon hetkeen, jossa sitä tarvitaan — konekortti koneen vieressä, kemikaalikortti purkin äärellä — sen sijaan että kaikki annettaisiin luentona etukäteen.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i w:val="false"/>
          <w:iCs w:val="false"/>
          <w:color w:val="211C16"/>
          <w:sz w:val="20"/>
          <w:szCs w:val="20"/>
        </w:rPr>
        <w:t xml:space="preserve">Tuen asteittainen purku.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11C16"/>
          <w:sz w:val="20"/>
          <w:szCs w:val="20"/>
        </w:rPr>
        <w:t xml:space="preserve">Neljä kyvykkyystasoa vastaavat suoraan ohjauksen määrää. Opiskelija näkee itse, missä kohtaa polkua on, ja mikä avaa seuraavan tason.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i w:val="false"/>
          <w:iCs w:val="false"/>
          <w:color w:val="211C16"/>
          <w:sz w:val="20"/>
          <w:szCs w:val="20"/>
        </w:rPr>
        <w:t xml:space="preserve">Osaamisen varmistus ennen etenemistä.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11C16"/>
          <w:sz w:val="20"/>
          <w:szCs w:val="20"/>
        </w:rPr>
        <w:t xml:space="preserve">Perehdytyksen tarkistuskysymyksiin on vastattava oikein; virheellinen vastaus näyttää oikean ja pyytää korjaamaan. Kyseessä ei ole koe vaan ymmärryksen varmistus ennen fyysistä riskiä.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11C16"/>
          <w:sz w:val="22"/>
          <w:szCs w:val="22"/>
        </w:rPr>
        <w:t xml:space="preserve">Mitä opiskelija saa näkyviin</w:t>
      </w:r>
    </w:p>
    <w:p>
      <w:pPr>
        <w:spacing w:after="11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1C16"/>
          <w:sz w:val="20"/>
          <w:szCs w:val="20"/>
        </w:rPr>
        <w:t xml:space="preserve">Läpinäkyvyys on tässä pedagoginen väline, ei hallinnollinen lisä. Opiskelija näkee: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746"/>
      </w:tblGrid>
      <w:tr>
        <w:tc>
          <w:tcPr>
            <w:tcW w:type="dxa" w:w="3000"/>
            <w:tcBorders>
              <w:top w:val="single" w:color="C8BFAD" w:sz="1"/>
              <w:left w:val="single" w:color="C8BFAD" w:sz="1"/>
              <w:bottom w:val="single" w:color="C8BFAD" w:sz="1"/>
              <w:right w:val="single" w:color="C8BFAD" w:sz="1"/>
            </w:tcBorders>
            <w:shd w:fill="EDE7DA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11C16"/>
                <w:sz w:val="16"/>
                <w:szCs w:val="16"/>
              </w:rPr>
              <w:t xml:space="preserve">Näkyvä asia</w:t>
            </w:r>
          </w:p>
        </w:tc>
        <w:tc>
          <w:tcPr>
            <w:tcW w:type="dxa" w:w="6746"/>
            <w:tcBorders>
              <w:top w:val="single" w:color="C8BFAD" w:sz="1"/>
              <w:left w:val="single" w:color="C8BFAD" w:sz="1"/>
              <w:bottom w:val="single" w:color="C8BFAD" w:sz="1"/>
              <w:right w:val="single" w:color="C8BFAD" w:sz="1"/>
            </w:tcBorders>
            <w:shd w:fill="EDE7DA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11C16"/>
                <w:sz w:val="16"/>
                <w:szCs w:val="16"/>
              </w:rPr>
              <w:t xml:space="preserve">Oppimisvaikutus</w:t>
            </w:r>
          </w:p>
        </w:tc>
      </w:tr>
      <w:tr>
        <w:tc>
          <w:tcPr>
            <w:tcW w:type="dxa" w:w="3000"/>
            <w:tcBorders>
              <w:top w:val="single" w:color="C8BFAD" w:sz="1"/>
              <w:left w:val="single" w:color="C8BFAD" w:sz="1"/>
              <w:bottom w:val="single" w:color="C8BFAD" w:sz="1"/>
              <w:right w:val="single" w:color="C8BFAD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1C16"/>
                <w:sz w:val="16"/>
                <w:szCs w:val="16"/>
              </w:rPr>
              <w:t xml:space="preserve">Materiaalin todellinen hinta eriteltynä</w:t>
            </w:r>
          </w:p>
        </w:tc>
        <w:tc>
          <w:tcPr>
            <w:tcW w:type="dxa" w:w="6746"/>
            <w:tcBorders>
              <w:top w:val="single" w:color="C8BFAD" w:sz="1"/>
              <w:left w:val="single" w:color="C8BFAD" w:sz="1"/>
              <w:bottom w:val="single" w:color="C8BFAD" w:sz="1"/>
              <w:right w:val="single" w:color="C8BFAD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1C16"/>
                <w:sz w:val="16"/>
                <w:szCs w:val="16"/>
              </w:rPr>
              <w:t xml:space="preserve">Hankinta, toimitus ja varastointi erikseen — ymmärrys tuotantokustannuksesta</w:t>
            </w:r>
          </w:p>
        </w:tc>
      </w:tr>
      <w:tr>
        <w:tc>
          <w:tcPr>
            <w:tcW w:type="dxa" w:w="3000"/>
            <w:tcBorders>
              <w:top w:val="single" w:color="C8BFAD" w:sz="1"/>
              <w:left w:val="single" w:color="C8BFAD" w:sz="1"/>
              <w:bottom w:val="single" w:color="C8BFAD" w:sz="1"/>
              <w:right w:val="single" w:color="C8BFAD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1C16"/>
                <w:sz w:val="16"/>
                <w:szCs w:val="16"/>
              </w:rPr>
              <w:t xml:space="preserve">Toimittaja ja toimitusaika</w:t>
            </w:r>
          </w:p>
        </w:tc>
        <w:tc>
          <w:tcPr>
            <w:tcW w:type="dxa" w:w="6746"/>
            <w:tcBorders>
              <w:top w:val="single" w:color="C8BFAD" w:sz="1"/>
              <w:left w:val="single" w:color="C8BFAD" w:sz="1"/>
              <w:bottom w:val="single" w:color="C8BFAD" w:sz="1"/>
              <w:right w:val="single" w:color="C8BFAD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1C16"/>
                <w:sz w:val="16"/>
                <w:szCs w:val="16"/>
              </w:rPr>
              <w:t xml:space="preserve">Hankintaketjun hahmottaminen osana muotoiluprosessia</w:t>
            </w:r>
          </w:p>
        </w:tc>
      </w:tr>
      <w:tr>
        <w:tc>
          <w:tcPr>
            <w:tcW w:type="dxa" w:w="3000"/>
            <w:tcBorders>
              <w:top w:val="single" w:color="C8BFAD" w:sz="1"/>
              <w:left w:val="single" w:color="C8BFAD" w:sz="1"/>
              <w:bottom w:val="single" w:color="C8BFAD" w:sz="1"/>
              <w:right w:val="single" w:color="C8BFAD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1C16"/>
                <w:sz w:val="16"/>
                <w:szCs w:val="16"/>
              </w:rPr>
              <w:t xml:space="preserve">Varastosaldo ja sijainti</w:t>
            </w:r>
          </w:p>
        </w:tc>
        <w:tc>
          <w:tcPr>
            <w:tcW w:type="dxa" w:w="6746"/>
            <w:tcBorders>
              <w:top w:val="single" w:color="C8BFAD" w:sz="1"/>
              <w:left w:val="single" w:color="C8BFAD" w:sz="1"/>
              <w:bottom w:val="single" w:color="C8BFAD" w:sz="1"/>
              <w:right w:val="single" w:color="C8BFAD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1C16"/>
                <w:sz w:val="16"/>
                <w:szCs w:val="16"/>
              </w:rPr>
              <w:t xml:space="preserve">Suunnittelu materiaalin saatavuuden mukaan, hukan väheneminen</w:t>
            </w:r>
          </w:p>
        </w:tc>
      </w:tr>
      <w:tr>
        <w:tc>
          <w:tcPr>
            <w:tcW w:type="dxa" w:w="3000"/>
            <w:tcBorders>
              <w:top w:val="single" w:color="C8BFAD" w:sz="1"/>
              <w:left w:val="single" w:color="C8BFAD" w:sz="1"/>
              <w:bottom w:val="single" w:color="C8BFAD" w:sz="1"/>
              <w:right w:val="single" w:color="C8BFAD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1C16"/>
                <w:sz w:val="16"/>
                <w:szCs w:val="16"/>
              </w:rPr>
              <w:t xml:space="preserve">Jakeet ja RETAKE-kierto</w:t>
            </w:r>
          </w:p>
        </w:tc>
        <w:tc>
          <w:tcPr>
            <w:tcW w:type="dxa" w:w="6746"/>
            <w:tcBorders>
              <w:top w:val="single" w:color="C8BFAD" w:sz="1"/>
              <w:left w:val="single" w:color="C8BFAD" w:sz="1"/>
              <w:bottom w:val="single" w:color="C8BFAD" w:sz="1"/>
              <w:right w:val="single" w:color="C8BFAD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1C16"/>
                <w:sz w:val="16"/>
                <w:szCs w:val="16"/>
              </w:rPr>
              <w:t xml:space="preserve">Kiertotalous konkreettisena valintana, ei periaatteena</w:t>
            </w:r>
          </w:p>
        </w:tc>
      </w:tr>
      <w:tr>
        <w:tc>
          <w:tcPr>
            <w:tcW w:type="dxa" w:w="3000"/>
            <w:tcBorders>
              <w:top w:val="single" w:color="C8BFAD" w:sz="1"/>
              <w:left w:val="single" w:color="C8BFAD" w:sz="1"/>
              <w:bottom w:val="single" w:color="C8BFAD" w:sz="1"/>
              <w:right w:val="single" w:color="C8BFAD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1C16"/>
                <w:sz w:val="16"/>
                <w:szCs w:val="16"/>
              </w:rPr>
              <w:t xml:space="preserve">Oma kulukertymä ja laskutusraja</w:t>
            </w:r>
          </w:p>
        </w:tc>
        <w:tc>
          <w:tcPr>
            <w:tcW w:type="dxa" w:w="6746"/>
            <w:tcBorders>
              <w:top w:val="single" w:color="C8BFAD" w:sz="1"/>
              <w:left w:val="single" w:color="C8BFAD" w:sz="1"/>
              <w:bottom w:val="single" w:color="C8BFAD" w:sz="1"/>
              <w:right w:val="single" w:color="C8BFAD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1C16"/>
                <w:sz w:val="16"/>
                <w:szCs w:val="16"/>
              </w:rPr>
              <w:t xml:space="preserve">Vastuu omasta työstä; kurssityö ja oma projekti erotettuna</w:t>
            </w:r>
          </w:p>
        </w:tc>
      </w:tr>
      <w:tr>
        <w:tc>
          <w:tcPr>
            <w:tcW w:type="dxa" w:w="3000"/>
            <w:tcBorders>
              <w:top w:val="single" w:color="C8BFAD" w:sz="1"/>
              <w:left w:val="single" w:color="C8BFAD" w:sz="1"/>
              <w:bottom w:val="single" w:color="C8BFAD" w:sz="1"/>
              <w:right w:val="single" w:color="C8BFAD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1C16"/>
                <w:sz w:val="16"/>
                <w:szCs w:val="16"/>
              </w:rPr>
              <w:t xml:space="preserve">Oma pätevyys ja seuraava taso</w:t>
            </w:r>
          </w:p>
        </w:tc>
        <w:tc>
          <w:tcPr>
            <w:tcW w:type="dxa" w:w="6746"/>
            <w:tcBorders>
              <w:top w:val="single" w:color="C8BFAD" w:sz="1"/>
              <w:left w:val="single" w:color="C8BFAD" w:sz="1"/>
              <w:bottom w:val="single" w:color="C8BFAD" w:sz="1"/>
              <w:right w:val="single" w:color="C8BFAD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1C16"/>
                <w:sz w:val="16"/>
                <w:szCs w:val="16"/>
              </w:rPr>
              <w:t xml:space="preserve">Oppimispolku näkyvänä, ei opettajan päässä</w:t>
            </w:r>
          </w:p>
        </w:tc>
      </w:tr>
    </w:tbl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211C16"/>
          <w:sz w:val="27"/>
          <w:szCs w:val="27"/>
        </w:rPr>
        <w:t xml:space="preserve">6. Vaikutus henkilökunnan kuormitukseen</w:t>
      </w:r>
    </w:p>
    <w:p>
      <w:pPr>
        <w:spacing w:after="11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1C16"/>
          <w:sz w:val="20"/>
          <w:szCs w:val="20"/>
        </w:rPr>
        <w:t xml:space="preserve">Kuormituksen syy ei ole huono organisointi vaan rakenteellinen epäsuhta: yksi valvoja ei voi valvoa useaa salia, ja jokainen valvomaton riskikone on joko käyttökiellossa tai riski. Nykyinen ratkaisu on henkilön venyttäminen.</w:t>
      </w:r>
    </w:p>
    <w:p>
      <w:pPr>
        <w:spacing w:after="11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1C16"/>
          <w:sz w:val="20"/>
          <w:szCs w:val="20"/>
        </w:rPr>
        <w:t xml:space="preserve">Järjestelmä vaikuttaa kolmeen kohtaan: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b/>
          <w:bCs/>
          <w:i w:val="false"/>
          <w:iCs w:val="false"/>
          <w:color w:val="211C16"/>
          <w:sz w:val="20"/>
          <w:szCs w:val="20"/>
        </w:rPr>
        <w:t xml:space="preserve">Toistuva perehdytys siirtyy asynkroniseksi.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11C16"/>
          <w:sz w:val="20"/>
          <w:szCs w:val="20"/>
        </w:rPr>
        <w:t xml:space="preserve">Sama sisältö ei vaadi opettajan läsnäoloa joka kerta. Myöhästyjä ei enää vie ohjausaikaa muilta.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b/>
          <w:bCs/>
          <w:i w:val="false"/>
          <w:iCs w:val="false"/>
          <w:color w:val="211C16"/>
          <w:sz w:val="20"/>
          <w:szCs w:val="20"/>
        </w:rPr>
        <w:t xml:space="preserve">Todennettu pätevyys mahdollistaa valvotun itsenäisyyden.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11C16"/>
          <w:sz w:val="20"/>
          <w:szCs w:val="20"/>
        </w:rPr>
        <w:t xml:space="preserve">Tämä on ainoa mekanismi, joka aidosti purkaa miehitysmatematiikan. Ilman todennusta itsenäisyys olisi turvallisuusriski.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b/>
          <w:bCs/>
          <w:i w:val="false"/>
          <w:iCs w:val="false"/>
          <w:color w:val="211C16"/>
          <w:sz w:val="20"/>
          <w:szCs w:val="20"/>
        </w:rPr>
        <w:t xml:space="preserve">Toistuva hallinnollinen työ vähenee.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11C16"/>
          <w:sz w:val="20"/>
          <w:szCs w:val="20"/>
        </w:rPr>
        <w:t xml:space="preserve">Materiaalikirjaus, varastoseuranta, poikkeamien käsittely ja ajokorttien kirjanpito syntyvät työn ohessa, eivät erillisenä paperityönä.</w:t>
      </w:r>
    </w:p>
    <w:p>
      <w:pPr>
        <w:spacing w:after="11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1C16"/>
          <w:sz w:val="20"/>
          <w:szCs w:val="20"/>
        </w:rPr>
        <w:t xml:space="preserve">Kuormitusta myös mitataan, mutta rajatusti: liikennevalona ja ei-rangaistavasti. Tarkoitus on tunnistaa tilanne, jossa tukeva henkilö on läsnä mutta ei enää kykene keventämään kuormaa — ja korjata se ennen uupumista.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211C16"/>
          <w:sz w:val="27"/>
          <w:szCs w:val="27"/>
        </w:rPr>
        <w:t xml:space="preserve">7. Työkalutieto ja ohjaus</w:t>
      </w:r>
    </w:p>
    <w:p>
      <w:pPr>
        <w:spacing w:after="11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1C16"/>
          <w:sz w:val="20"/>
          <w:szCs w:val="20"/>
        </w:rPr>
        <w:t xml:space="preserve">Järjestelmä tietää, mikä työkalu on kyseessä, mihin sitä käytetään ja missä sen paikka on. Nykyinen tarkkuus on hylly- ja taulutaso (esimerkiksi teräkaappi, puristinseinä, viilahylly). Laatikko- ja lokerotason tarkkuus on tekninen laajennus, ei uusi ominaisuus: se vaatii inventoinnin ja paikkakoodiston, ei uutta järjestelmää.</w:t>
      </w:r>
    </w:p>
    <w:p>
      <w:pPr>
        <w:spacing w:after="11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1C16"/>
          <w:sz w:val="20"/>
          <w:szCs w:val="20"/>
        </w:rPr>
        <w:t xml:space="preserve">Ohjauksen sävy on suunnitteluperiaate: lempeä mutta päättäväinen. Käytännössä tämä tarkoittaa, että järjestelmä ei nolaa eikä rankaise, mutta ei myöskään jousta turvallisuudesta. Esimerkkejä toteutuneesta käytöksestä: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1C16"/>
          <w:sz w:val="20"/>
          <w:szCs w:val="20"/>
        </w:rPr>
        <w:t xml:space="preserve">Väärä vastaus perehdytyksessä näyttää oikean ja pyytää korjaamaan — ei hylkää.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1C16"/>
          <w:sz w:val="20"/>
          <w:szCs w:val="20"/>
        </w:rPr>
        <w:t xml:space="preserve">Kemikaaliehdotus ei etene ilman käyttöturvallisuustiedotetta; syy kerrotaan lakiperusteineen.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1C16"/>
          <w:sz w:val="20"/>
          <w:szCs w:val="20"/>
        </w:rPr>
        <w:t xml:space="preserve">Poikkeama ei sulkeudu ilman kirjattua toimenpidettä ja sulkijan nimeä.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1C16"/>
          <w:sz w:val="20"/>
          <w:szCs w:val="20"/>
        </w:rPr>
        <w:t xml:space="preserve">Hylätty ehdotus vaatii kirjallisen perustelun — opiskelijalla on oikeus syyhyn.</w:t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211C16"/>
          <w:sz w:val="27"/>
          <w:szCs w:val="27"/>
        </w:rPr>
        <w:t xml:space="preserve">8. Tekoälyavusteinen menetelmäehdotus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CE3F1B" w:sz="6"/>
              <w:left w:val="single" w:color="CE3F1B" w:sz="18"/>
              <w:bottom w:val="single" w:color="CE3F1B" w:sz="6"/>
              <w:right w:val="single" w:color="CE3F1B" w:sz="6"/>
            </w:tcBorders>
            <w:shd w:fill="FBEAE5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1C16"/>
                <w:sz w:val="20"/>
                <w:szCs w:val="20"/>
              </w:rPr>
              <w:t xml:space="preserve">Kypsyystaso D: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1C16"/>
                <w:sz w:val="20"/>
                <w:szCs w:val="20"/>
              </w:rPr>
              <w:t xml:space="preserve">tätä ominaisuutta ei ole toteutettu. Alla kuvataan suunnitteluperiaatteet, jotta ne voidaan arvioida ennen toteutusta.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1C16"/>
          <w:sz w:val="20"/>
          <w:szCs w:val="20"/>
        </w:rPr>
        <w:t xml:space="preserve"/>
      </w:r>
    </w:p>
    <w:p>
      <w:pPr>
        <w:spacing w:after="11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1C16"/>
          <w:sz w:val="20"/>
          <w:szCs w:val="20"/>
        </w:rPr>
        <w:t xml:space="preserve">Tavoite on ehdottaa opiskelijalle työtapaa, joka sopii tehtävään, käytettävissä olevaan kalustoon ja hänen todennettuun osaamistasoonsa — esimerkiksi liitostapa, työjärjestys tai koneen valinta. Ehdotus perustuu tehtävän vaatimuksiin, materiaaliin, laitekantaan ja opiskelijan kyvykkyystasoon.</w:t>
      </w:r>
    </w:p>
    <w:p>
      <w:pPr>
        <w:spacing w:after="11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1C16"/>
          <w:sz w:val="20"/>
          <w:szCs w:val="20"/>
        </w:rPr>
        <w:t xml:space="preserve">Kolme ehdotonta reunaehtoa: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b/>
          <w:bCs/>
          <w:i w:val="false"/>
          <w:iCs w:val="false"/>
          <w:color w:val="211C16"/>
          <w:sz w:val="20"/>
          <w:szCs w:val="20"/>
        </w:rPr>
        <w:t xml:space="preserve">Henkilökunta hyväksyy menetelmän ennen kuin se päätyy opiskelijalle.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11C16"/>
          <w:sz w:val="20"/>
          <w:szCs w:val="20"/>
        </w:rPr>
        <w:t xml:space="preserve">Järjestelmä ehdottaa, ihminen vastaa. Turvallisuuskriittistä ohjetta ei anneta automaattisesti.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b/>
          <w:bCs/>
          <w:i w:val="false"/>
          <w:iCs w:val="false"/>
          <w:color w:val="211C16"/>
          <w:sz w:val="20"/>
          <w:szCs w:val="20"/>
        </w:rPr>
        <w:t xml:space="preserve">Ehdotus ei ylitä opiskelijan pätevyystasoa.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11C16"/>
          <w:sz w:val="20"/>
          <w:szCs w:val="20"/>
        </w:rPr>
        <w:t xml:space="preserve">Menetelmää, joka vaatii ajokortin jota ei ole, ei ehdoteta.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b/>
          <w:bCs/>
          <w:i w:val="false"/>
          <w:iCs w:val="false"/>
          <w:color w:val="211C16"/>
          <w:sz w:val="20"/>
          <w:szCs w:val="20"/>
        </w:rPr>
        <w:t xml:space="preserve">Ehdotus on perusteltu ja kiistettävissä.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11C16"/>
          <w:sz w:val="20"/>
          <w:szCs w:val="20"/>
        </w:rPr>
        <w:t xml:space="preserve">Opiskelija näkee, mihin ehdotus perustuu, ja voi valita toisin ohjaajan kanssa.</w:t>
      </w:r>
    </w:p>
    <w:p>
      <w:pPr>
        <w:spacing w:after="11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1C16"/>
          <w:sz w:val="20"/>
          <w:szCs w:val="20"/>
        </w:rPr>
        <w:t xml:space="preserve">Tässä muodossa kyseessä ei ole automaattinen päätöksenteko, koska ihminen tekee ratkaisun. Tämä rajaus on säilytettävä myös toteutuksessa.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211C16"/>
          <w:sz w:val="27"/>
          <w:szCs w:val="27"/>
        </w:rPr>
        <w:t xml:space="preserve">9. Tietosuoja</w:t>
      </w:r>
    </w:p>
    <w:p>
      <w:pPr>
        <w:spacing w:after="11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1C16"/>
          <w:sz w:val="20"/>
          <w:szCs w:val="20"/>
        </w:rPr>
        <w:t xml:space="preserve">Erillinen dokumentaatio on laadittu ja odottaa tietosuojavastaavan käsittelyä. Keskeiset ratkaisut: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1C16"/>
          <w:sz w:val="20"/>
          <w:szCs w:val="20"/>
        </w:rPr>
        <w:t xml:space="preserve">Turvallisuustietojen perusteena lakisääteinen velvoite, ei suostumus — opiskelija on riippuvuussuhteessa oppilaitokseen, joten suostumus ei olisi vapaaehtoinen.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1C16"/>
          <w:sz w:val="20"/>
          <w:szCs w:val="20"/>
        </w:rPr>
        <w:t xml:space="preserve">Valokuville suostumus, josta voi kieltäytyä ilman seurauksia.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1C16"/>
          <w:sz w:val="20"/>
          <w:szCs w:val="20"/>
        </w:rPr>
        <w:t xml:space="preserve">Erityisiä henkilötietoryhmiä ei kerätä; kuormahavainto koskee työn sujumista, ei terveydentilaa.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1C16"/>
          <w:sz w:val="20"/>
          <w:szCs w:val="20"/>
        </w:rPr>
        <w:t xml:space="preserve">Ulos vietävä data pseudonyymiä; nimet vain Metropolian hallitsemissa järjestelmissä.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1C16"/>
          <w:sz w:val="20"/>
          <w:szCs w:val="20"/>
        </w:rPr>
        <w:t xml:space="preserve">DPIA-esiarvion johtopäätös: vaikutustenarviointi on todennäköisesti tarpeen ennen tuotantokäyttöä.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211C16"/>
          <w:sz w:val="27"/>
          <w:szCs w:val="27"/>
        </w:rPr>
        <w:t xml:space="preserve">10. Keskeisin tekninen rajoite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CE3F1B" w:sz="6"/>
              <w:left w:val="single" w:color="CE3F1B" w:sz="18"/>
              <w:bottom w:val="single" w:color="CE3F1B" w:sz="6"/>
              <w:right w:val="single" w:color="CE3F1B" w:sz="6"/>
            </w:tcBorders>
            <w:shd w:fill="FBEAE5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1C16"/>
                <w:sz w:val="20"/>
                <w:szCs w:val="20"/>
              </w:rPr>
              <w:t xml:space="preserve">Yhteiskäyttö puuttuu.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1C16"/>
                <w:sz w:val="20"/>
                <w:szCs w:val="20"/>
              </w:rPr>
              <w:t xml:space="preserve">Nykyiset työkalut tallentavat tiedot selaimeen. Tämä on todennettu testaamalla: opiskelijan tekemä poikkeamailmoitus ei näy pajamestarin laitteella. Käytännössä järjestelmä toimii tällä hetkellä yhden käyttäjän välineenä ja esittelynä.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1C16"/>
                <w:sz w:val="20"/>
                <w:szCs w:val="20"/>
              </w:rPr>
              <w:t xml:space="preserve">Ratkaisu edellyttää palvelinta ja tietokantaa. Tämä on koko hankkeen tärkein yksittäinen päätös, ja se on sama päätös kuin tietosuojan osalta: mihin ympäristöön tieto sijoitetaan.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1C16"/>
          <w:sz w:val="20"/>
          <w:szCs w:val="20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211C16"/>
          <w:sz w:val="27"/>
          <w:szCs w:val="27"/>
        </w:rPr>
        <w:t xml:space="preserve">11. Vaiheistus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200"/>
        <w:gridCol w:w="3646"/>
      </w:tblGrid>
      <w:tr>
        <w:tc>
          <w:tcPr>
            <w:tcW w:type="dxa" w:w="1900"/>
            <w:tcBorders>
              <w:top w:val="single" w:color="C8BFAD" w:sz="1"/>
              <w:left w:val="single" w:color="C8BFAD" w:sz="1"/>
              <w:bottom w:val="single" w:color="C8BFAD" w:sz="1"/>
              <w:right w:val="single" w:color="C8BFAD" w:sz="1"/>
            </w:tcBorders>
            <w:shd w:fill="EDE7DA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11C16"/>
                <w:sz w:val="16"/>
                <w:szCs w:val="16"/>
              </w:rPr>
              <w:t xml:space="preserve">Vaihe</w:t>
            </w:r>
          </w:p>
        </w:tc>
        <w:tc>
          <w:tcPr>
            <w:tcW w:type="dxa" w:w="4200"/>
            <w:tcBorders>
              <w:top w:val="single" w:color="C8BFAD" w:sz="1"/>
              <w:left w:val="single" w:color="C8BFAD" w:sz="1"/>
              <w:bottom w:val="single" w:color="C8BFAD" w:sz="1"/>
              <w:right w:val="single" w:color="C8BFAD" w:sz="1"/>
            </w:tcBorders>
            <w:shd w:fill="EDE7DA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11C16"/>
                <w:sz w:val="16"/>
                <w:szCs w:val="16"/>
              </w:rPr>
              <w:t xml:space="preserve">Sisältö</w:t>
            </w:r>
          </w:p>
        </w:tc>
        <w:tc>
          <w:tcPr>
            <w:tcW w:type="dxa" w:w="3646"/>
            <w:tcBorders>
              <w:top w:val="single" w:color="C8BFAD" w:sz="1"/>
              <w:left w:val="single" w:color="C8BFAD" w:sz="1"/>
              <w:bottom w:val="single" w:color="C8BFAD" w:sz="1"/>
              <w:right w:val="single" w:color="C8BFAD" w:sz="1"/>
            </w:tcBorders>
            <w:shd w:fill="EDE7DA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11C16"/>
                <w:sz w:val="16"/>
                <w:szCs w:val="16"/>
              </w:rPr>
              <w:t xml:space="preserve">Päätösportti</w:t>
            </w:r>
          </w:p>
        </w:tc>
      </w:tr>
      <w:tr>
        <w:tc>
          <w:tcPr>
            <w:tcW w:type="dxa" w:w="1900"/>
            <w:tcBorders>
              <w:top w:val="single" w:color="C8BFAD" w:sz="1"/>
              <w:left w:val="single" w:color="C8BFAD" w:sz="1"/>
              <w:bottom w:val="single" w:color="C8BFAD" w:sz="1"/>
              <w:right w:val="single" w:color="C8BFAD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1C16"/>
                <w:sz w:val="16"/>
                <w:szCs w:val="16"/>
              </w:rPr>
              <w:t xml:space="preserve">0 Validointi</w:t>
            </w:r>
          </w:p>
        </w:tc>
        <w:tc>
          <w:tcPr>
            <w:tcW w:type="dxa" w:w="4200"/>
            <w:tcBorders>
              <w:top w:val="single" w:color="C8BFAD" w:sz="1"/>
              <w:left w:val="single" w:color="C8BFAD" w:sz="1"/>
              <w:bottom w:val="single" w:color="C8BFAD" w:sz="1"/>
              <w:right w:val="single" w:color="C8BFAD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1C16"/>
                <w:sz w:val="16"/>
                <w:szCs w:val="16"/>
              </w:rPr>
              <w:t xml:space="preserve">Testaus opiskelijoilla ja pajamestareilla, keksityillä nimillä</w:t>
            </w:r>
          </w:p>
        </w:tc>
        <w:tc>
          <w:tcPr>
            <w:tcW w:type="dxa" w:w="3646"/>
            <w:tcBorders>
              <w:top w:val="single" w:color="C8BFAD" w:sz="1"/>
              <w:left w:val="single" w:color="C8BFAD" w:sz="1"/>
              <w:bottom w:val="single" w:color="C8BFAD" w:sz="1"/>
              <w:right w:val="single" w:color="C8BFAD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1C16"/>
                <w:sz w:val="16"/>
                <w:szCs w:val="16"/>
              </w:rPr>
              <w:t xml:space="preserve">Ymmärrettävyys ja käyttöönottohalu</w:t>
            </w:r>
          </w:p>
        </w:tc>
      </w:tr>
      <w:tr>
        <w:tc>
          <w:tcPr>
            <w:tcW w:type="dxa" w:w="1900"/>
            <w:tcBorders>
              <w:top w:val="single" w:color="C8BFAD" w:sz="1"/>
              <w:left w:val="single" w:color="C8BFAD" w:sz="1"/>
              <w:bottom w:val="single" w:color="C8BFAD" w:sz="1"/>
              <w:right w:val="single" w:color="C8BFAD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1C16"/>
                <w:sz w:val="16"/>
                <w:szCs w:val="16"/>
              </w:rPr>
              <w:t xml:space="preserve">1 Alusta</w:t>
            </w:r>
          </w:p>
        </w:tc>
        <w:tc>
          <w:tcPr>
            <w:tcW w:type="dxa" w:w="4200"/>
            <w:tcBorders>
              <w:top w:val="single" w:color="C8BFAD" w:sz="1"/>
              <w:left w:val="single" w:color="C8BFAD" w:sz="1"/>
              <w:bottom w:val="single" w:color="C8BFAD" w:sz="1"/>
              <w:right w:val="single" w:color="C8BFAD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1C16"/>
                <w:sz w:val="16"/>
                <w:szCs w:val="16"/>
              </w:rPr>
              <w:t xml:space="preserve">Tallennuspaikan valinta, tunnistautuminen, tietosuoja</w:t>
            </w:r>
          </w:p>
        </w:tc>
        <w:tc>
          <w:tcPr>
            <w:tcW w:type="dxa" w:w="3646"/>
            <w:tcBorders>
              <w:top w:val="single" w:color="C8BFAD" w:sz="1"/>
              <w:left w:val="single" w:color="C8BFAD" w:sz="1"/>
              <w:bottom w:val="single" w:color="C8BFAD" w:sz="1"/>
              <w:right w:val="single" w:color="C8BFAD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1C16"/>
                <w:sz w:val="16"/>
                <w:szCs w:val="16"/>
              </w:rPr>
              <w:t xml:space="preserve">Ympäristö ja käsittelyperuste hyväksytty</w:t>
            </w:r>
          </w:p>
        </w:tc>
      </w:tr>
      <w:tr>
        <w:tc>
          <w:tcPr>
            <w:tcW w:type="dxa" w:w="1900"/>
            <w:tcBorders>
              <w:top w:val="single" w:color="C8BFAD" w:sz="1"/>
              <w:left w:val="single" w:color="C8BFAD" w:sz="1"/>
              <w:bottom w:val="single" w:color="C8BFAD" w:sz="1"/>
              <w:right w:val="single" w:color="C8BFAD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1C16"/>
                <w:sz w:val="16"/>
                <w:szCs w:val="16"/>
              </w:rPr>
              <w:t xml:space="preserve">2 Pilotti</w:t>
            </w:r>
          </w:p>
        </w:tc>
        <w:tc>
          <w:tcPr>
            <w:tcW w:type="dxa" w:w="4200"/>
            <w:tcBorders>
              <w:top w:val="single" w:color="C8BFAD" w:sz="1"/>
              <w:left w:val="single" w:color="C8BFAD" w:sz="1"/>
              <w:bottom w:val="single" w:color="C8BFAD" w:sz="1"/>
              <w:right w:val="single" w:color="C8BFAD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1C16"/>
                <w:sz w:val="16"/>
                <w:szCs w:val="16"/>
              </w:rPr>
              <w:t xml:space="preserve">Turvallisuusputki syksyn orientaatiokurssilla</w:t>
            </w:r>
          </w:p>
        </w:tc>
        <w:tc>
          <w:tcPr>
            <w:tcW w:type="dxa" w:w="3646"/>
            <w:tcBorders>
              <w:top w:val="single" w:color="C8BFAD" w:sz="1"/>
              <w:left w:val="single" w:color="C8BFAD" w:sz="1"/>
              <w:bottom w:val="single" w:color="C8BFAD" w:sz="1"/>
              <w:right w:val="single" w:color="C8BFAD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1C16"/>
                <w:sz w:val="16"/>
                <w:szCs w:val="16"/>
              </w:rPr>
              <w:t xml:space="preserve">Kohortti suorittaa, merkinnät säilyvät</w:t>
            </w:r>
          </w:p>
        </w:tc>
      </w:tr>
      <w:tr>
        <w:tc>
          <w:tcPr>
            <w:tcW w:type="dxa" w:w="1900"/>
            <w:tcBorders>
              <w:top w:val="single" w:color="C8BFAD" w:sz="1"/>
              <w:left w:val="single" w:color="C8BFAD" w:sz="1"/>
              <w:bottom w:val="single" w:color="C8BFAD" w:sz="1"/>
              <w:right w:val="single" w:color="C8BFAD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1C16"/>
                <w:sz w:val="16"/>
                <w:szCs w:val="16"/>
              </w:rPr>
              <w:t xml:space="preserve">3 Integraatiot</w:t>
            </w:r>
          </w:p>
        </w:tc>
        <w:tc>
          <w:tcPr>
            <w:tcW w:type="dxa" w:w="4200"/>
            <w:tcBorders>
              <w:top w:val="single" w:color="C8BFAD" w:sz="1"/>
              <w:left w:val="single" w:color="C8BFAD" w:sz="1"/>
              <w:bottom w:val="single" w:color="C8BFAD" w:sz="1"/>
              <w:right w:val="single" w:color="C8BFAD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1C16"/>
                <w:sz w:val="16"/>
                <w:szCs w:val="16"/>
              </w:rPr>
              <w:t xml:space="preserve">Peppi, Moodle, PRO24 kytkentöineen</w:t>
            </w:r>
          </w:p>
        </w:tc>
        <w:tc>
          <w:tcPr>
            <w:tcW w:type="dxa" w:w="3646"/>
            <w:tcBorders>
              <w:top w:val="single" w:color="C8BFAD" w:sz="1"/>
              <w:left w:val="single" w:color="C8BFAD" w:sz="1"/>
              <w:bottom w:val="single" w:color="C8BFAD" w:sz="1"/>
              <w:right w:val="single" w:color="C8BFAD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1C16"/>
                <w:sz w:val="16"/>
                <w:szCs w:val="16"/>
              </w:rPr>
              <w:t xml:space="preserve">Tiedon kaksoisylläpito poistuu</w:t>
            </w:r>
          </w:p>
        </w:tc>
      </w:tr>
      <w:tr>
        <w:tc>
          <w:tcPr>
            <w:tcW w:type="dxa" w:w="1900"/>
            <w:tcBorders>
              <w:top w:val="single" w:color="C8BFAD" w:sz="1"/>
              <w:left w:val="single" w:color="C8BFAD" w:sz="1"/>
              <w:bottom w:val="single" w:color="C8BFAD" w:sz="1"/>
              <w:right w:val="single" w:color="C8BFAD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1C16"/>
                <w:sz w:val="16"/>
                <w:szCs w:val="16"/>
              </w:rPr>
              <w:t xml:space="preserve">4 Laajennus</w:t>
            </w:r>
          </w:p>
        </w:tc>
        <w:tc>
          <w:tcPr>
            <w:tcW w:type="dxa" w:w="4200"/>
            <w:tcBorders>
              <w:top w:val="single" w:color="C8BFAD" w:sz="1"/>
              <w:left w:val="single" w:color="C8BFAD" w:sz="1"/>
              <w:bottom w:val="single" w:color="C8BFAD" w:sz="1"/>
              <w:right w:val="single" w:color="C8BFAD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1C16"/>
                <w:sz w:val="16"/>
                <w:szCs w:val="16"/>
              </w:rPr>
              <w:t xml:space="preserve">Materiaali- ja kustannusnäkymä, mittarointi</w:t>
            </w:r>
          </w:p>
        </w:tc>
        <w:tc>
          <w:tcPr>
            <w:tcW w:type="dxa" w:w="3646"/>
            <w:tcBorders>
              <w:top w:val="single" w:color="C8BFAD" w:sz="1"/>
              <w:left w:val="single" w:color="C8BFAD" w:sz="1"/>
              <w:bottom w:val="single" w:color="C8BFAD" w:sz="1"/>
              <w:right w:val="single" w:color="C8BFAD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1C16"/>
                <w:sz w:val="16"/>
                <w:szCs w:val="16"/>
              </w:rPr>
              <w:t xml:space="preserve">Mitattu vaikutus asiantuntija-aikaan</w:t>
            </w:r>
          </w:p>
        </w:tc>
      </w:tr>
      <w:tr>
        <w:tc>
          <w:tcPr>
            <w:tcW w:type="dxa" w:w="1900"/>
            <w:tcBorders>
              <w:top w:val="single" w:color="C8BFAD" w:sz="1"/>
              <w:left w:val="single" w:color="C8BFAD" w:sz="1"/>
              <w:bottom w:val="single" w:color="C8BFAD" w:sz="1"/>
              <w:right w:val="single" w:color="C8BFAD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1C16"/>
                <w:sz w:val="16"/>
                <w:szCs w:val="16"/>
              </w:rPr>
              <w:t xml:space="preserve">5 Arviointi</w:t>
            </w:r>
          </w:p>
        </w:tc>
        <w:tc>
          <w:tcPr>
            <w:tcW w:type="dxa" w:w="4200"/>
            <w:tcBorders>
              <w:top w:val="single" w:color="C8BFAD" w:sz="1"/>
              <w:left w:val="single" w:color="C8BFAD" w:sz="1"/>
              <w:bottom w:val="single" w:color="C8BFAD" w:sz="1"/>
              <w:right w:val="single" w:color="C8BFAD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1C16"/>
                <w:sz w:val="16"/>
                <w:szCs w:val="16"/>
              </w:rPr>
              <w:t xml:space="preserve">Menetelmäehdotus ja kuormamalli</w:t>
            </w:r>
          </w:p>
        </w:tc>
        <w:tc>
          <w:tcPr>
            <w:tcW w:type="dxa" w:w="3646"/>
            <w:tcBorders>
              <w:top w:val="single" w:color="C8BFAD" w:sz="1"/>
              <w:left w:val="single" w:color="C8BFAD" w:sz="1"/>
              <w:bottom w:val="single" w:color="C8BFAD" w:sz="1"/>
              <w:right w:val="single" w:color="C8BFAD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1C16"/>
                <w:sz w:val="16"/>
                <w:szCs w:val="16"/>
              </w:rPr>
              <w:t xml:space="preserve">Erillinen eettinen ja tietosuoja-arvio</w:t>
            </w:r>
          </w:p>
        </w:tc>
      </w:tr>
    </w:tbl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211C16"/>
          <w:sz w:val="27"/>
          <w:szCs w:val="27"/>
        </w:rPr>
        <w:t xml:space="preserve">12. Mitä pyydän Digitaalisilta palveluilta</w:t>
      </w:r>
    </w:p>
    <w:p>
      <w:pPr>
        <w:pStyle w:val="ListParagraph"/>
        <w:numPr>
          <w:ilvl w:val="0"/>
          <w:numId w:val="5"/>
        </w:numPr>
        <w:spacing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1C16"/>
          <w:sz w:val="20"/>
          <w:szCs w:val="20"/>
        </w:rPr>
        <w:t xml:space="preserve">Arvio siitä, mihin ympäristöön tämä sijoitetaan (M365 / Dataverse / oma palvelin) ja millä aikataululla.</w:t>
      </w:r>
    </w:p>
    <w:p>
      <w:pPr>
        <w:pStyle w:val="ListParagraph"/>
        <w:numPr>
          <w:ilvl w:val="0"/>
          <w:numId w:val="5"/>
        </w:numPr>
        <w:spacing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1C16"/>
          <w:sz w:val="20"/>
          <w:szCs w:val="20"/>
        </w:rPr>
        <w:t xml:space="preserve">Tieto Pepin rajapintojen käytöstä: mitä tietoa pajakerros saa lukea ja millä prosessilla.</w:t>
      </w:r>
    </w:p>
    <w:p>
      <w:pPr>
        <w:pStyle w:val="ListParagraph"/>
        <w:numPr>
          <w:ilvl w:val="0"/>
          <w:numId w:val="5"/>
        </w:numPr>
        <w:spacing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1C16"/>
          <w:sz w:val="20"/>
          <w:szCs w:val="20"/>
        </w:rPr>
        <w:t xml:space="preserve">Kannanotto Moodle-integraation tapaan: SCORM riittääkö, vai edetäänkö LTI-suuntaan.</w:t>
      </w:r>
    </w:p>
    <w:p>
      <w:pPr>
        <w:pStyle w:val="ListParagraph"/>
        <w:numPr>
          <w:ilvl w:val="0"/>
          <w:numId w:val="5"/>
        </w:numPr>
        <w:spacing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1C16"/>
          <w:sz w:val="20"/>
          <w:szCs w:val="20"/>
        </w:rPr>
        <w:t xml:space="preserve">Tieto PRO24:n sopimustilanteesta ja mahdollisesta rajapinnasta.</w:t>
      </w:r>
    </w:p>
    <w:p>
      <w:pPr>
        <w:pStyle w:val="ListParagraph"/>
        <w:numPr>
          <w:ilvl w:val="0"/>
          <w:numId w:val="5"/>
        </w:numPr>
        <w:spacing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1C16"/>
          <w:sz w:val="20"/>
          <w:szCs w:val="20"/>
        </w:rPr>
        <w:t xml:space="preserve">Ohjaus tunnistautumiseen (Entra ID / Haka) ja roolitietojen saantiin.</w:t>
      </w:r>
    </w:p>
    <w:p>
      <w:pPr>
        <w:pStyle w:val="ListParagraph"/>
        <w:numPr>
          <w:ilvl w:val="0"/>
          <w:numId w:val="5"/>
        </w:numPr>
        <w:spacing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1C16"/>
          <w:sz w:val="20"/>
          <w:szCs w:val="20"/>
        </w:rPr>
        <w:t xml:space="preserve">Näkemys siitä, tuleeko tästä pajakohtainen ratkaisu vai Metropolian laajempi kyvykkyys — sillä on merkitystä arkkitehtuurivalintoihin.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211C16"/>
          <w:sz w:val="27"/>
          <w:szCs w:val="27"/>
        </w:rPr>
        <w:t xml:space="preserve">13. Liitteet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1C16"/>
          <w:sz w:val="20"/>
          <w:szCs w:val="20"/>
        </w:rPr>
        <w:t xml:space="preserve">Ohjelmiston viimeisin versio (zip): portaali, työkalut, SCORM-paketti, asennusohje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1C16"/>
          <w:sz w:val="20"/>
          <w:szCs w:val="20"/>
        </w:rPr>
        <w:t xml:space="preserve">Tietosuojaseloste ja GDPR-dokumentaatio (Word)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1C16"/>
          <w:sz w:val="20"/>
          <w:szCs w:val="20"/>
        </w:rPr>
        <w:t xml:space="preserve">IKM v0.1 — avoin kyvykkyys- ja kuormamalli (JSON Schema)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1C16"/>
          <w:sz w:val="20"/>
          <w:szCs w:val="20"/>
        </w:rPr>
        <w:t xml:space="preserve">Pajakohtainen kyvykkyystaksonomia v0.1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1C16"/>
          <w:sz w:val="20"/>
          <w:szCs w:val="20"/>
        </w:rPr>
        <w:t xml:space="preserve">Sivustokartta ja käyttöohje (LUE_MINUT.txt)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1C16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/>
          <w:iCs/>
          <w:color w:val="5A5347"/>
          <w:sz w:val="15"/>
          <w:szCs w:val="15"/>
        </w:rPr>
        <w:t xml:space="preserve">Lakiperusta, johon turvallisuusosuus nojaa: työturvallisuuslaki 738/2002, VNa kemiallisista tekijöistä työssä 715/2001, käyttöasetus 403/2008, ASA-laki 452/2020. Tietosuoja: EU 2016/679 ja tietosuojalaki 1050/2018.</w:t>
      </w:r>
    </w:p>
    <w:sectPr>
      <w:pgSz w:w="11906" w:h="16838" w:orient="portrait"/>
      <w:pgMar w:top="108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40" w:hanging="2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40" w:hanging="2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4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1C16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2026-08-11T12:20:58.853Z</dcterms:created>
  <dcterms:modified xsi:type="dcterms:W3CDTF">2026-08-11T12:20:58.853Z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