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280"/>
        <w:jc w:val="center"/>
      </w:pPr>
      <w:r>
        <w:rPr>
          <w:b/>
          <w:sz w:val="40"/>
        </w:rPr>
        <w:t xml:space="preserve">Отчёт за квартал</w:t>
      </w:r>
    </w:p>
    <w:p>
      <w:r>
        <w:t xml:space="preserve">Выручка выросла на </w:t>
      </w:r>
      <w:r>
        <w:rPr>
          <w:b/>
        </w:rPr>
        <w:t xml:space="preserve">18</w:t>
      </w:r>
      <w:r>
        <w:t xml:space="preserve"> процентов относительно прошлого периода.</w:t>
      </w:r>
    </w:p>
    <w:p>
      <w:pPr>
        <w:spacing w:before="240"/>
      </w:pPr>
      <w:r>
        <w:rPr>
          <w:b/>
        </w:rPr>
        <w:t xml:space="preserve">Основные пункты</w:t>
      </w:r>
    </w:p>
    <w:p>
      <w:pPr>
        <w:numPr>
          <w:ilvl w:val="0"/>
          <w:numId w:val="1"/>
        </w:numPr>
      </w:pPr>
      <w:r>
        <w:t xml:space="preserve">Открытие нового раздела</w:t>
      </w:r>
    </w:p>
    <w:p>
      <w:pPr>
        <w:numPr>
          <w:ilvl w:val="0"/>
          <w:numId w:val="1"/>
        </w:numPr>
      </w:pPr>
      <w:r>
        <w:t xml:space="preserve">Сокращение издержек на логистике</w:t>
      </w:r>
    </w:p>
    <w:p>
      <w:pPr>
        <w:numPr>
          <w:ilvl w:val="0"/>
          <w:numId w:val="1"/>
        </w:numPr>
      </w:pPr>
      <w:r>
        <w:t xml:space="preserve">Расширение линейки продукции</w:t>
      </w:r>
    </w:p>
    <w:tbl>
      <w:tblPr>
        <w:tblW w:w="0" w:type="auto"/>
        <w:tblBorders>
          <w:top w:val="single" w:sz="4" w:space="0" w:color="B8B0A4"/>
          <w:left w:val="single" w:sz="4" w:space="0" w:color="B8B0A4"/>
          <w:bottom w:val="single" w:sz="4" w:space="0" w:color="B8B0A4"/>
          <w:right w:val="single" w:sz="4" w:space="0" w:color="B8B0A4"/>
          <w:insideH w:val="single" w:sz="4" w:space="0" w:color="B8B0A4"/>
          <w:insideV w:val="single" w:sz="4" w:space="0" w:color="B8B0A4"/>
        </w:tblBorders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Показатель</w:t>
            </w:r>
          </w:p>
        </w:tc>
        <w:tc>
          <w:tcPr>
            <w:tcW w:w="2000" w:type="dxa"/>
          </w:tcPr>
          <w:p>
            <w:r>
              <w:t xml:space="preserve">Значение</w:t>
            </w:r>
          </w:p>
        </w:tc>
      </w:tr>
      <w:tr>
        <w:tc>
          <w:tcPr>
            <w:tcW w:w="2000" w:type="dxa"/>
          </w:tcPr>
          <w:p>
            <w:r>
              <w:t xml:space="preserve">Выручка</w:t>
            </w:r>
          </w:p>
        </w:tc>
        <w:tc>
          <w:tcPr>
            <w:tcW w:w="2000" w:type="dxa"/>
          </w:tcPr>
          <w:p>
            <w:r>
              <w:t xml:space="preserve">12 400 000</w:t>
            </w:r>
          </w:p>
        </w:tc>
      </w:tr>
      <w:tr>
        <w:tc>
          <w:tcPr>
            <w:tcW w:w="2000" w:type="dxa"/>
          </w:tcPr>
          <w:p>
            <w:r>
              <w:t xml:space="preserve">Расходы</w:t>
            </w:r>
          </w:p>
        </w:tc>
        <w:tc>
          <w:tcPr>
            <w:tcW w:w="2000" w:type="dxa"/>
          </w:tcPr>
          <w:p>
            <w:r>
              <w:t xml:space="preserve">7 900 000</w:t>
            </w:r>
          </w:p>
        </w:tc>
      </w:tr>
      <w:tr>
        <w:tc>
          <w:tcPr>
            <w:tcW w:w="2000" w:type="dxa"/>
          </w:tcPr>
          <w:p>
            <w:r>
              <w:t xml:space="preserve">Прибыль</w:t>
            </w:r>
          </w:p>
        </w:tc>
        <w:tc>
          <w:tcPr>
            <w:tcW w:w="2000" w:type="dxa"/>
          </w:tcPr>
          <w:p>
            <w:r>
              <w:t xml:space="preserve">4 500 000</w:t>
            </w:r>
          </w:p>
        </w:tc>
      </w:tr>
    </w:tbl>
    <w:sectPr>
      <w:pgSz w:w="11900" w:h="16840"/>
      <w:pgMar w:top="1440" w:bottom="1440" w:left="1800" w:right="180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2">
    <w:lvl w:ilvl="0">
      <w:start w:val="1"/>
      <w:numFmt w:val="decimal"/>
      <w:lvlText w:val="%1."/>
      <w:pPr>
        <w:ind w:left="720" w:hanging="360"/>
      </w:pPr>
    </w:lvl>
    <w:lvl w:ilvl="1">
      <w:start w:val="1"/>
      <w:numFmt w:val="decimal"/>
      <w:lvlText w:val="%2."/>
      <w:pPr>
        <w:ind w:left="1440" w:hanging="360"/>
      </w:pPr>
    </w:lvl>
    <w:lvl w:ilvl="2">
      <w:start w:val="1"/>
      <w:numFmt w:val="decimal"/>
      <w:lvlText w:val="%3."/>
      <w:pPr>
        <w:ind w:left="2160" w:hanging="360"/>
      </w:pPr>
    </w:lvl>
    <w:lvl w:ilvl="3">
      <w:start w:val="1"/>
      <w:numFmt w:val="decimal"/>
      <w:lvlText w:val="%4."/>
      <w:pPr>
        <w:ind w:left="2880" w:hanging="360"/>
      </w:pPr>
    </w:lvl>
    <w:lvl w:ilvl="4">
      <w:start w:val="1"/>
      <w:numFmt w:val="decimal"/>
      <w:lvlText w:val="%5."/>
      <w:pPr>
        <w:ind w:left="3600" w:hanging="360"/>
      </w:pPr>
    </w:lvl>
    <w:lvl w:ilvl="5">
      <w:start w:val="1"/>
      <w:numFmt w:val="decimal"/>
      <w:lvlText w:val="%6."/>
      <w:pPr>
        <w:ind w:left="4320" w:hanging="360"/>
      </w:pPr>
    </w:lvl>
    <w:lvl w:ilvl="6">
      <w:start w:val="1"/>
      <w:numFmt w:val="decimal"/>
      <w:lvlText w:val="%7."/>
      <w:pPr>
        <w:ind w:left="5040" w:hanging="360"/>
      </w:pPr>
    </w:lvl>
    <w:lvl w:ilvl="7">
      <w:start w:val="1"/>
      <w:numFmt w:val="decimal"/>
      <w:lvlText w:val="%8."/>
      <w:pPr>
        <w:ind w:left="5760" w:hanging="360"/>
      </w:pPr>
    </w:lvl>
    <w:lvl w:ilvl="8">
      <w:start w:val="1"/>
      <w:numFmt w:val="decimal"/>
      <w:lvlText w:val="%9."/>
      <w:pPr>
        <w:ind w:left="6480" w:hanging="360"/>
      </w:pPr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>
  <w:style w:type="paragraph" w:styleId="Heading1">
    <w:name w:val="heading 1"/>
    <w:pPr>
      <w:keepNext/>
      <w:outlineLvl w:val="0"/>
      <w:spacing w:before="360" w:after="120"/>
    </w:pPr>
    <w:rPr>
      <w:b/>
      <w:sz w:val="64"/>
    </w:rPr>
  </w:style>
  <w:style w:type="paragraph" w:styleId="Heading2">
    <w:name w:val="heading 2"/>
    <w:pPr>
      <w:keepNext/>
      <w:outlineLvl w:val="1"/>
      <w:spacing w:before="320" w:after="120"/>
    </w:pPr>
    <w:rPr>
      <w:b/>
      <w:sz w:val="60"/>
    </w:rPr>
  </w:style>
  <w:style w:type="paragraph" w:styleId="Heading3">
    <w:name w:val="heading 3"/>
    <w:pPr>
      <w:keepNext/>
      <w:outlineLvl w:val="2"/>
      <w:spacing w:before="280" w:after="120"/>
    </w:pPr>
    <w:rPr>
      <w:b/>
      <w:sz w:val="56"/>
    </w:rPr>
  </w:style>
  <w:style w:type="paragraph" w:styleId="Heading4">
    <w:name w:val="heading 4"/>
    <w:pPr>
      <w:keepNext/>
      <w:outlineLvl w:val="3"/>
      <w:spacing w:before="240" w:after="120"/>
    </w:pPr>
    <w:rPr>
      <w:b/>
      <w:sz w:val="52"/>
    </w:rPr>
  </w:style>
  <w:style w:type="paragraph" w:styleId="Heading5">
    <w:name w:val="heading 5"/>
    <w:pPr>
      <w:keepNext/>
      <w:outlineLvl w:val="4"/>
      <w:spacing w:before="200" w:after="120"/>
    </w:pPr>
    <w:rPr>
      <w:b/>
      <w:sz w:val="48"/>
    </w:rPr>
  </w:style>
  <w:style w:type="paragraph" w:styleId="Heading6">
    <w:name w:val="heading 6"/>
    <w:pPr>
      <w:keepNext/>
      <w:outlineLvl w:val="5"/>
      <w:spacing w:before="160" w:after="120"/>
    </w:pPr>
    <w:rPr>
      <w:b/>
      <w:sz w:val="44"/>
    </w:rPr>
  </w:style>
  <w:style w:type="paragraph" w:styleId="ListParagraph">
    <w:name w:val="List Paragraph"/>
    <w:pPr>
      <w:ind w:left="720"/>
    </w:pPr>
  </w:style>
  <w:style w:type="paragraph" w:styleId="Normal" w:default="1">
    <w:name w:val="Normal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OpenFiles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OpenFiles</dc:creator>
  <cp:keywords/>
  <dcterms:created xsi:type="dcterms:W3CDTF">2026-10-12T22:16:00.477354Z</dcterms:created>
</cp:coreProperties>
</file>