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DD374" w14:textId="77777777" w:rsidR="0094274C" w:rsidRPr="00971EFD" w:rsidRDefault="00000000">
      <w:pPr>
        <w:spacing w:after="40"/>
        <w:jc w:val="center"/>
        <w:rPr>
          <w:color w:val="000000" w:themeColor="text1"/>
        </w:rPr>
      </w:pPr>
      <w:r w:rsidRPr="00971EFD">
        <w:rPr>
          <w:b/>
          <w:bCs/>
          <w:color w:val="000000" w:themeColor="text1"/>
          <w:sz w:val="32"/>
          <w:szCs w:val="32"/>
        </w:rPr>
        <w:t>The Collapse of Kingfisher Airlines</w:t>
      </w:r>
    </w:p>
    <w:p w14:paraId="0345E29C" w14:textId="77777777" w:rsidR="0094274C" w:rsidRDefault="00000000">
      <w:pPr>
        <w:spacing w:after="20"/>
        <w:jc w:val="center"/>
      </w:pPr>
      <w:r>
        <w:rPr>
          <w:i/>
          <w:iCs/>
          <w:color w:val="404040"/>
        </w:rPr>
        <w:t>An Academic Case Study on Corporate Fraud, Recovery, and Forensic Approach</w:t>
      </w:r>
    </w:p>
    <w:p w14:paraId="192C0180" w14:textId="77777777" w:rsidR="0094274C" w:rsidRPr="00971EFD" w:rsidRDefault="00000000">
      <w:pPr>
        <w:pStyle w:val="Heading1"/>
        <w:keepNext/>
        <w:spacing w:before="220" w:after="100"/>
        <w:rPr>
          <w:color w:val="000000" w:themeColor="text1"/>
        </w:rPr>
      </w:pPr>
      <w:r w:rsidRPr="00971EFD">
        <w:rPr>
          <w:b/>
          <w:bCs/>
          <w:color w:val="000000" w:themeColor="text1"/>
          <w:sz w:val="28"/>
          <w:szCs w:val="28"/>
        </w:rPr>
        <w:t>1. Company Background</w:t>
      </w:r>
    </w:p>
    <w:p w14:paraId="4842487E" w14:textId="77777777" w:rsidR="0094274C" w:rsidRDefault="00000000">
      <w:pPr>
        <w:spacing w:after="120" w:line="290" w:lineRule="auto"/>
        <w:jc w:val="both"/>
      </w:pPr>
      <w:r>
        <w:rPr>
          <w:b/>
          <w:bCs/>
          <w:sz w:val="22"/>
          <w:szCs w:val="22"/>
        </w:rPr>
        <w:t>Kingfisher Airlines Limited</w:t>
      </w:r>
      <w:r>
        <w:rPr>
          <w:sz w:val="22"/>
          <w:szCs w:val="22"/>
        </w:rPr>
        <w:t xml:space="preserve"> was an Indian full-service airline headquartered in Mumbai with its hub in Bengaluru. Incorporated in 2003 and flying from </w:t>
      </w:r>
      <w:r>
        <w:rPr>
          <w:b/>
          <w:bCs/>
          <w:sz w:val="22"/>
          <w:szCs w:val="22"/>
        </w:rPr>
        <w:t>9 May 2005</w:t>
      </w:r>
      <w:r>
        <w:rPr>
          <w:sz w:val="22"/>
          <w:szCs w:val="22"/>
        </w:rPr>
        <w:t xml:space="preserve">, it was promoted and led by </w:t>
      </w:r>
      <w:r>
        <w:rPr>
          <w:b/>
          <w:bCs/>
          <w:sz w:val="22"/>
          <w:szCs w:val="22"/>
        </w:rPr>
        <w:t>Vijay Mallya</w:t>
      </w:r>
      <w:r>
        <w:rPr>
          <w:sz w:val="22"/>
          <w:szCs w:val="22"/>
        </w:rPr>
        <w:t xml:space="preserve">, chairman of the UB Group, the liquor and brewing conglomerate behind the Kingfisher beer brand. The airline sold itself as a premium carrier, and in 2007–08 it bought the low-cost operator </w:t>
      </w:r>
      <w:r>
        <w:rPr>
          <w:b/>
          <w:bCs/>
          <w:sz w:val="22"/>
          <w:szCs w:val="22"/>
        </w:rPr>
        <w:t>Air Deccan</w:t>
      </w:r>
      <w:r>
        <w:rPr>
          <w:sz w:val="22"/>
          <w:szCs w:val="22"/>
        </w:rPr>
        <w:t xml:space="preserve"> (reported at about ₹550 crore) and placed large aircraft orders. Until December 2011 it held the second largest share of India’s domestic air travel.</w:t>
      </w:r>
    </w:p>
    <w:p w14:paraId="31E3DE12" w14:textId="77777777" w:rsidR="0094274C" w:rsidRDefault="00000000">
      <w:pPr>
        <w:spacing w:after="120" w:line="290" w:lineRule="auto"/>
        <w:jc w:val="both"/>
      </w:pPr>
      <w:r>
        <w:rPr>
          <w:sz w:val="22"/>
          <w:szCs w:val="22"/>
        </w:rPr>
        <w:t xml:space="preserve">On </w:t>
      </w:r>
      <w:r>
        <w:rPr>
          <w:b/>
          <w:bCs/>
          <w:sz w:val="22"/>
          <w:szCs w:val="22"/>
        </w:rPr>
        <w:t>20 October 2012</w:t>
      </w:r>
      <w:r>
        <w:rPr>
          <w:sz w:val="22"/>
          <w:szCs w:val="22"/>
        </w:rPr>
        <w:t xml:space="preserve">, after unpaid pilots and engineers stopped work, the aviation regulator DGCA suspended its licence and the airline never flew again. It owed a consortium of about </w:t>
      </w:r>
      <w:r>
        <w:rPr>
          <w:b/>
          <w:bCs/>
          <w:sz w:val="22"/>
          <w:szCs w:val="22"/>
        </w:rPr>
        <w:t>17 state-owned banks led by the State Bank of India</w:t>
      </w:r>
      <w:r>
        <w:rPr>
          <w:sz w:val="22"/>
          <w:szCs w:val="22"/>
        </w:rPr>
        <w:t xml:space="preserve"> over </w:t>
      </w:r>
      <w:r>
        <w:rPr>
          <w:b/>
          <w:bCs/>
          <w:sz w:val="22"/>
          <w:szCs w:val="22"/>
        </w:rPr>
        <w:t>₹9,000 crore</w:t>
      </w:r>
      <w:r>
        <w:rPr>
          <w:sz w:val="22"/>
          <w:szCs w:val="22"/>
        </w:rPr>
        <w:t xml:space="preserve"> including interest. Mallya left for the United Kingdom on </w:t>
      </w:r>
      <w:r>
        <w:rPr>
          <w:b/>
          <w:bCs/>
          <w:sz w:val="22"/>
          <w:szCs w:val="22"/>
        </w:rPr>
        <w:t>2 March 2016</w:t>
      </w:r>
      <w:r>
        <w:rPr>
          <w:sz w:val="22"/>
          <w:szCs w:val="22"/>
        </w:rPr>
        <w:t xml:space="preserve">. </w:t>
      </w:r>
      <w:r>
        <w:rPr>
          <w:i/>
          <w:iCs/>
          <w:sz w:val="22"/>
          <w:szCs w:val="22"/>
        </w:rPr>
        <w:t xml:space="preserve">A note on terminology: as of </w:t>
      </w:r>
      <w:proofErr w:type="gramStart"/>
      <w:r>
        <w:rPr>
          <w:i/>
          <w:iCs/>
          <w:sz w:val="22"/>
          <w:szCs w:val="22"/>
        </w:rPr>
        <w:t>October 2026</w:t>
      </w:r>
      <w:proofErr w:type="gramEnd"/>
      <w:r>
        <w:rPr>
          <w:i/>
          <w:iCs/>
          <w:sz w:val="22"/>
          <w:szCs w:val="22"/>
        </w:rPr>
        <w:t xml:space="preserve"> Mallya has not been tried or convicted of bank fraud in India. The Supreme Court has held him in contempt, and a UK court found a prima facie case of fraud by false representation for extradition purposes. He denies fraud and says the airline failed for business reasons. "Alleged" below marks claims by investigators and lenders.</w:t>
      </w:r>
    </w:p>
    <w:p w14:paraId="0DCB1948" w14:textId="77777777" w:rsidR="0094274C" w:rsidRPr="00971EFD" w:rsidRDefault="00000000">
      <w:pPr>
        <w:pStyle w:val="Heading1"/>
        <w:keepNext/>
        <w:spacing w:before="220" w:after="100"/>
        <w:rPr>
          <w:color w:val="000000" w:themeColor="text1"/>
        </w:rPr>
      </w:pPr>
      <w:r w:rsidRPr="00971EFD">
        <w:rPr>
          <w:b/>
          <w:bCs/>
          <w:color w:val="000000" w:themeColor="text1"/>
          <w:sz w:val="28"/>
          <w:szCs w:val="28"/>
        </w:rPr>
        <w:t>2. How the Fraud Happened</w:t>
      </w:r>
    </w:p>
    <w:p w14:paraId="4395903C" w14:textId="77777777" w:rsidR="0094274C" w:rsidRDefault="00000000">
      <w:pPr>
        <w:spacing w:after="120" w:line="290" w:lineRule="auto"/>
        <w:jc w:val="both"/>
      </w:pPr>
      <w:r>
        <w:rPr>
          <w:sz w:val="22"/>
          <w:szCs w:val="22"/>
        </w:rPr>
        <w:t>Kingfisher was not a case of forged financial statements. The alleged fraud was a slow, relationship-driven failure in which a loss-making airline kept receiving bank credit, and part of the money is alleged to have left the business.</w:t>
      </w:r>
    </w:p>
    <w:p w14:paraId="5BCB26A9" w14:textId="77777777" w:rsidR="0094274C" w:rsidRPr="00971EFD" w:rsidRDefault="00000000">
      <w:pPr>
        <w:pStyle w:val="Heading2"/>
        <w:keepNext/>
        <w:spacing w:before="160" w:after="80"/>
        <w:rPr>
          <w:color w:val="000000" w:themeColor="text1"/>
        </w:rPr>
      </w:pPr>
      <w:r w:rsidRPr="00971EFD">
        <w:rPr>
          <w:b/>
          <w:bCs/>
          <w:color w:val="000000" w:themeColor="text1"/>
          <w:sz w:val="24"/>
          <w:szCs w:val="24"/>
        </w:rPr>
        <w:t>2.1 Lending to a Loss-Making Airline</w:t>
      </w:r>
    </w:p>
    <w:p w14:paraId="1B970B92" w14:textId="77777777" w:rsidR="0094274C" w:rsidRDefault="00000000">
      <w:pPr>
        <w:spacing w:after="120" w:line="290" w:lineRule="auto"/>
        <w:jc w:val="both"/>
      </w:pPr>
      <w:r>
        <w:rPr>
          <w:sz w:val="22"/>
          <w:szCs w:val="22"/>
        </w:rPr>
        <w:t xml:space="preserve">The airline lost money in almost every year it operated. High fuel costs, fleet expansion and the Air Deccan deal pushed debt to roughly </w:t>
      </w:r>
      <w:r>
        <w:rPr>
          <w:b/>
          <w:bCs/>
          <w:sz w:val="22"/>
          <w:szCs w:val="22"/>
        </w:rPr>
        <w:t>₹7,000–8,000 crore</w:t>
      </w:r>
      <w:r>
        <w:rPr>
          <w:sz w:val="22"/>
          <w:szCs w:val="22"/>
        </w:rPr>
        <w:t xml:space="preserve"> by 2010. Banks kept lending against promoter guarantees, pledged shares and a </w:t>
      </w:r>
      <w:r>
        <w:rPr>
          <w:b/>
          <w:bCs/>
          <w:sz w:val="22"/>
          <w:szCs w:val="22"/>
        </w:rPr>
        <w:t>brand valuation running into thousands of crores</w:t>
      </w:r>
      <w:r>
        <w:rPr>
          <w:sz w:val="22"/>
          <w:szCs w:val="22"/>
        </w:rPr>
        <w:t>, which are soft security compared with aircraft or receivables.</w:t>
      </w:r>
    </w:p>
    <w:p w14:paraId="0CA3A247" w14:textId="77777777" w:rsidR="0094274C" w:rsidRPr="00971EFD" w:rsidRDefault="00000000">
      <w:pPr>
        <w:pStyle w:val="Heading2"/>
        <w:keepNext/>
        <w:spacing w:before="160" w:after="80"/>
        <w:rPr>
          <w:color w:val="000000" w:themeColor="text1"/>
        </w:rPr>
      </w:pPr>
      <w:r w:rsidRPr="00971EFD">
        <w:rPr>
          <w:b/>
          <w:bCs/>
          <w:color w:val="000000" w:themeColor="text1"/>
          <w:sz w:val="24"/>
          <w:szCs w:val="24"/>
        </w:rPr>
        <w:t>2.2 The 2010 Restructuring</w:t>
      </w:r>
    </w:p>
    <w:p w14:paraId="7C954725" w14:textId="77777777" w:rsidR="0094274C" w:rsidRDefault="00000000">
      <w:pPr>
        <w:spacing w:after="120" w:line="290" w:lineRule="auto"/>
        <w:jc w:val="both"/>
      </w:pPr>
      <w:r>
        <w:rPr>
          <w:sz w:val="22"/>
          <w:szCs w:val="22"/>
        </w:rPr>
        <w:t xml:space="preserve">In </w:t>
      </w:r>
      <w:r>
        <w:rPr>
          <w:b/>
          <w:bCs/>
          <w:sz w:val="22"/>
          <w:szCs w:val="22"/>
        </w:rPr>
        <w:t>November 2010</w:t>
      </w:r>
      <w:r>
        <w:rPr>
          <w:sz w:val="22"/>
          <w:szCs w:val="22"/>
        </w:rPr>
        <w:t xml:space="preserve">, under a one-time RBI relaxation, lenders recast about </w:t>
      </w:r>
      <w:r>
        <w:rPr>
          <w:b/>
          <w:bCs/>
          <w:sz w:val="22"/>
          <w:szCs w:val="22"/>
        </w:rPr>
        <w:t>₹8,000 crore</w:t>
      </w:r>
      <w:r>
        <w:rPr>
          <w:sz w:val="22"/>
          <w:szCs w:val="22"/>
        </w:rPr>
        <w:t xml:space="preserve">: interest was cut, part of the debt was converted into preference shares and equity, and a two-year moratorium was granted. The airline defaulted again within about a year. In </w:t>
      </w:r>
      <w:r>
        <w:rPr>
          <w:b/>
          <w:bCs/>
          <w:sz w:val="22"/>
          <w:szCs w:val="22"/>
        </w:rPr>
        <w:t>December 2011</w:t>
      </w:r>
      <w:r>
        <w:rPr>
          <w:sz w:val="22"/>
          <w:szCs w:val="22"/>
        </w:rPr>
        <w:t xml:space="preserve"> SBI said its loan had turned non-performing, and other lenders followed. A recast that is followed by default is the textbook sign of </w:t>
      </w:r>
      <w:r>
        <w:rPr>
          <w:b/>
          <w:bCs/>
          <w:sz w:val="22"/>
          <w:szCs w:val="22"/>
        </w:rPr>
        <w:t>evergreening</w:t>
      </w:r>
      <w:r>
        <w:rPr>
          <w:sz w:val="22"/>
          <w:szCs w:val="22"/>
        </w:rPr>
        <w:t>, where fresh relief hides an unviable borrower.</w:t>
      </w:r>
    </w:p>
    <w:p w14:paraId="05D74FFB" w14:textId="77777777" w:rsidR="0094274C" w:rsidRPr="00971EFD" w:rsidRDefault="00000000">
      <w:pPr>
        <w:pStyle w:val="Heading2"/>
        <w:keepNext/>
        <w:spacing w:before="160" w:after="80"/>
        <w:rPr>
          <w:color w:val="000000" w:themeColor="text1"/>
        </w:rPr>
      </w:pPr>
      <w:r w:rsidRPr="00971EFD">
        <w:rPr>
          <w:b/>
          <w:bCs/>
          <w:color w:val="000000" w:themeColor="text1"/>
          <w:sz w:val="24"/>
          <w:szCs w:val="24"/>
        </w:rPr>
        <w:t>2.3 Alleged Diversion of Loan Proceeds</w:t>
      </w:r>
    </w:p>
    <w:p w14:paraId="3023F546" w14:textId="77777777" w:rsidR="0094274C" w:rsidRDefault="00000000">
      <w:pPr>
        <w:spacing w:after="120" w:line="290" w:lineRule="auto"/>
        <w:jc w:val="both"/>
      </w:pPr>
      <w:r>
        <w:rPr>
          <w:sz w:val="22"/>
          <w:szCs w:val="22"/>
        </w:rPr>
        <w:t xml:space="preserve">The CBI alleges that a loan of about </w:t>
      </w:r>
      <w:r>
        <w:rPr>
          <w:b/>
          <w:bCs/>
          <w:sz w:val="22"/>
          <w:szCs w:val="22"/>
        </w:rPr>
        <w:t>₹900 crore from IDBI Bank</w:t>
      </w:r>
      <w:r>
        <w:rPr>
          <w:sz w:val="22"/>
          <w:szCs w:val="22"/>
        </w:rPr>
        <w:t xml:space="preserve">, sanctioned in 2009–10, was approved without proper appraisal, and that part of the money was routed to group companies and overseas entities instead of aircraft and working capital. The Enforcement Directorate alleges money laundering, including funds said to have gone to the Force India Formula One team and to overseas property. In </w:t>
      </w:r>
      <w:r>
        <w:rPr>
          <w:b/>
          <w:bCs/>
          <w:sz w:val="22"/>
          <w:szCs w:val="22"/>
        </w:rPr>
        <w:t>December 2018</w:t>
      </w:r>
      <w:r>
        <w:rPr>
          <w:sz w:val="22"/>
          <w:szCs w:val="22"/>
        </w:rPr>
        <w:t xml:space="preserve"> a UK court accepted that there was a prima facie case that Mallya </w:t>
      </w:r>
      <w:r>
        <w:rPr>
          <w:sz w:val="22"/>
          <w:szCs w:val="22"/>
        </w:rPr>
        <w:lastRenderedPageBreak/>
        <w:t>misrepresented the airline’s finances and its use of loans to the banks. These are allegations, not a criminal verdict.</w:t>
      </w:r>
    </w:p>
    <w:p w14:paraId="6E8554E5" w14:textId="77777777" w:rsidR="0094274C" w:rsidRPr="00971EFD" w:rsidRDefault="00000000">
      <w:pPr>
        <w:pStyle w:val="Heading2"/>
        <w:keepNext/>
        <w:spacing w:before="160" w:after="80"/>
        <w:rPr>
          <w:color w:val="000000" w:themeColor="text1"/>
        </w:rPr>
      </w:pPr>
      <w:r w:rsidRPr="00971EFD">
        <w:rPr>
          <w:b/>
          <w:bCs/>
          <w:color w:val="000000" w:themeColor="text1"/>
          <w:sz w:val="24"/>
          <w:szCs w:val="24"/>
        </w:rPr>
        <w:t>2.4 The Failure of Oversight and the Flight</w:t>
      </w:r>
    </w:p>
    <w:p w14:paraId="0C16C690" w14:textId="77777777" w:rsidR="0094274C" w:rsidRDefault="00000000">
      <w:pPr>
        <w:spacing w:after="120" w:line="290" w:lineRule="auto"/>
        <w:jc w:val="both"/>
      </w:pPr>
      <w:r>
        <w:rPr>
          <w:sz w:val="22"/>
          <w:szCs w:val="22"/>
        </w:rPr>
        <w:t xml:space="preserve">Every safeguard slipped together. Each bank saw only its own account, and no one traced the </w:t>
      </w:r>
      <w:r>
        <w:rPr>
          <w:b/>
          <w:bCs/>
          <w:sz w:val="22"/>
          <w:szCs w:val="22"/>
        </w:rPr>
        <w:t>end use</w:t>
      </w:r>
      <w:r>
        <w:rPr>
          <w:sz w:val="22"/>
          <w:szCs w:val="22"/>
        </w:rPr>
        <w:t xml:space="preserve"> of the funds across the consortium. Salaries, taxes and airport dues went unpaid in 2011–12 without early action. Banks filed a Debt Recovery Tribunal claim of </w:t>
      </w:r>
      <w:r>
        <w:rPr>
          <w:b/>
          <w:bCs/>
          <w:sz w:val="22"/>
          <w:szCs w:val="22"/>
        </w:rPr>
        <w:t>₹6,203 crore</w:t>
      </w:r>
      <w:r>
        <w:rPr>
          <w:sz w:val="22"/>
          <w:szCs w:val="22"/>
        </w:rPr>
        <w:t xml:space="preserve"> in 2013, and several lenders tagged Mallya a wilful defaulter in 2014–15. Enforcement moved only after he had left. In 2016 he received </w:t>
      </w:r>
      <w:r>
        <w:rPr>
          <w:b/>
          <w:bCs/>
          <w:sz w:val="22"/>
          <w:szCs w:val="22"/>
        </w:rPr>
        <w:t>$40 million</w:t>
      </w:r>
      <w:r>
        <w:rPr>
          <w:sz w:val="22"/>
          <w:szCs w:val="22"/>
        </w:rPr>
        <w:t xml:space="preserve"> from Diageo and moved it to his children despite court orders. The Supreme Court found this to be contempt in 2017 and on </w:t>
      </w:r>
      <w:r>
        <w:rPr>
          <w:b/>
          <w:bCs/>
          <w:sz w:val="22"/>
          <w:szCs w:val="22"/>
        </w:rPr>
        <w:t>11 July 2022</w:t>
      </w:r>
      <w:r>
        <w:rPr>
          <w:sz w:val="22"/>
          <w:szCs w:val="22"/>
        </w:rPr>
        <w:t xml:space="preserve"> sentenced him to four months and a ₹2,000 fine.</w:t>
      </w:r>
    </w:p>
    <w:p w14:paraId="60CC2F0B" w14:textId="77777777" w:rsidR="0094274C" w:rsidRPr="00971EFD" w:rsidRDefault="00000000">
      <w:pPr>
        <w:pStyle w:val="Heading1"/>
        <w:keepNext/>
        <w:spacing w:before="220" w:after="100"/>
        <w:rPr>
          <w:color w:val="000000" w:themeColor="text1"/>
        </w:rPr>
      </w:pPr>
      <w:r w:rsidRPr="00971EFD">
        <w:rPr>
          <w:b/>
          <w:bCs/>
          <w:color w:val="000000" w:themeColor="text1"/>
          <w:sz w:val="28"/>
          <w:szCs w:val="28"/>
        </w:rPr>
        <w:t>3. Did Kingfisher Recover?</w:t>
      </w:r>
    </w:p>
    <w:p w14:paraId="1435A3B2" w14:textId="77777777" w:rsidR="0094274C" w:rsidRDefault="00000000">
      <w:pPr>
        <w:spacing w:after="120" w:line="290" w:lineRule="auto"/>
        <w:jc w:val="both"/>
      </w:pPr>
      <w:r>
        <w:rPr>
          <w:b/>
          <w:bCs/>
          <w:sz w:val="22"/>
          <w:szCs w:val="22"/>
        </w:rPr>
        <w:t>Kingfisher Airlines as an entity did not recover.</w:t>
      </w:r>
      <w:r>
        <w:rPr>
          <w:sz w:val="22"/>
          <w:szCs w:val="22"/>
        </w:rPr>
        <w:t xml:space="preserve"> It has not flown since 2012, its licence lapsed and it went into liquidation (reported), while many former employees say they are still owed wages. Recovery in the wider legal, financial and regulatory sense is partial and ongoing.</w:t>
      </w:r>
    </w:p>
    <w:p w14:paraId="68D5B050" w14:textId="77777777" w:rsidR="0094274C" w:rsidRDefault="00000000">
      <w:pPr>
        <w:pStyle w:val="ListParagraph"/>
        <w:numPr>
          <w:ilvl w:val="0"/>
          <w:numId w:val="2"/>
        </w:numPr>
        <w:spacing w:after="80" w:line="290" w:lineRule="auto"/>
        <w:jc w:val="both"/>
      </w:pPr>
      <w:r>
        <w:rPr>
          <w:b/>
          <w:bCs/>
          <w:sz w:val="22"/>
          <w:szCs w:val="22"/>
        </w:rPr>
        <w:t>Legal recovery:</w:t>
      </w:r>
      <w:r>
        <w:rPr>
          <w:sz w:val="22"/>
          <w:szCs w:val="22"/>
        </w:rPr>
        <w:t xml:space="preserve"> A UK court ordered extradition in December 2018, the Home Secretary approved it in February 2019 and the High Court dismissed his appeal in April 2020. In </w:t>
      </w:r>
      <w:r>
        <w:rPr>
          <w:b/>
          <w:bCs/>
          <w:sz w:val="22"/>
          <w:szCs w:val="22"/>
        </w:rPr>
        <w:t>2026 it is still unresolved</w:t>
      </w:r>
      <w:r>
        <w:rPr>
          <w:sz w:val="22"/>
          <w:szCs w:val="22"/>
        </w:rPr>
        <w:t>, and the Bombay High Court is hearing his challenge to the Fugitive Economic Offenders Act. A UK bankruptcy order followed in July 2021, and the CBI and ED cases are pending.</w:t>
      </w:r>
    </w:p>
    <w:p w14:paraId="68D9E64B" w14:textId="77777777" w:rsidR="0094274C" w:rsidRDefault="00000000">
      <w:pPr>
        <w:pStyle w:val="ListParagraph"/>
        <w:numPr>
          <w:ilvl w:val="0"/>
          <w:numId w:val="2"/>
        </w:numPr>
        <w:spacing w:after="80" w:line="290" w:lineRule="auto"/>
        <w:jc w:val="both"/>
      </w:pPr>
      <w:r>
        <w:rPr>
          <w:b/>
          <w:bCs/>
          <w:sz w:val="22"/>
          <w:szCs w:val="22"/>
        </w:rPr>
        <w:t>Financial recovery:</w:t>
      </w:r>
      <w:r>
        <w:rPr>
          <w:sz w:val="22"/>
          <w:szCs w:val="22"/>
        </w:rPr>
        <w:t xml:space="preserve"> The government says assets worth over </w:t>
      </w:r>
      <w:r>
        <w:rPr>
          <w:b/>
          <w:bCs/>
          <w:sz w:val="22"/>
          <w:szCs w:val="22"/>
        </w:rPr>
        <w:t>₹14,000 crore</w:t>
      </w:r>
      <w:r>
        <w:rPr>
          <w:sz w:val="22"/>
          <w:szCs w:val="22"/>
        </w:rPr>
        <w:t xml:space="preserve"> have been attached or recovered. Mallya says banks have recovered about ₹15,000 crore against the ₹6,203 crore claimed. The two figures count different things (attachments versus cash received by banks), so they should be checked against the latest court records. The Goa villa sold for only ₹73 crore after three failed auctions (reported).</w:t>
      </w:r>
    </w:p>
    <w:p w14:paraId="0A64C768" w14:textId="77777777" w:rsidR="0094274C" w:rsidRDefault="00000000">
      <w:pPr>
        <w:pStyle w:val="ListParagraph"/>
        <w:numPr>
          <w:ilvl w:val="0"/>
          <w:numId w:val="2"/>
        </w:numPr>
        <w:spacing w:after="80" w:line="290" w:lineRule="auto"/>
        <w:jc w:val="both"/>
      </w:pPr>
      <w:r>
        <w:rPr>
          <w:b/>
          <w:bCs/>
          <w:sz w:val="22"/>
          <w:szCs w:val="22"/>
        </w:rPr>
        <w:t>Regulatory recovery:</w:t>
      </w:r>
      <w:r>
        <w:rPr>
          <w:sz w:val="22"/>
          <w:szCs w:val="22"/>
        </w:rPr>
        <w:t xml:space="preserve"> The case fed the </w:t>
      </w:r>
      <w:r>
        <w:rPr>
          <w:b/>
          <w:bCs/>
          <w:sz w:val="22"/>
          <w:szCs w:val="22"/>
        </w:rPr>
        <w:t>Fugitive Economic Offenders Act, 2018</w:t>
      </w:r>
      <w:r>
        <w:rPr>
          <w:sz w:val="22"/>
          <w:szCs w:val="22"/>
        </w:rPr>
        <w:t xml:space="preserve"> (confiscation of assets of those who flee), the Insolvency and Bankruptcy Code, 2016, tighter RBI rules on wilful defaulters and fraud reporting, and stronger large-credit monitoring through CRILC. Confirm exact reforms and dates in primary sources.</w:t>
      </w:r>
    </w:p>
    <w:p w14:paraId="5742936F" w14:textId="77777777" w:rsidR="0094274C" w:rsidRPr="00971EFD" w:rsidRDefault="00000000">
      <w:pPr>
        <w:pStyle w:val="Heading1"/>
        <w:keepNext/>
        <w:spacing w:before="220" w:after="100"/>
        <w:rPr>
          <w:color w:val="000000" w:themeColor="text1"/>
        </w:rPr>
      </w:pPr>
      <w:r w:rsidRPr="00971EFD">
        <w:rPr>
          <w:b/>
          <w:bCs/>
          <w:color w:val="000000" w:themeColor="text1"/>
          <w:sz w:val="28"/>
          <w:szCs w:val="28"/>
        </w:rPr>
        <w:t>4. If I Had Been Present: My Approach</w:t>
      </w:r>
    </w:p>
    <w:p w14:paraId="301EDB13" w14:textId="77777777" w:rsidR="0094274C" w:rsidRDefault="00000000">
      <w:pPr>
        <w:spacing w:after="120" w:line="290" w:lineRule="auto"/>
        <w:jc w:val="both"/>
      </w:pPr>
      <w:r>
        <w:rPr>
          <w:sz w:val="22"/>
          <w:szCs w:val="22"/>
        </w:rPr>
        <w:t xml:space="preserve">From the vantage of a data-focused professional, I would have worked in three phases: </w:t>
      </w:r>
      <w:r>
        <w:rPr>
          <w:b/>
          <w:bCs/>
          <w:sz w:val="22"/>
          <w:szCs w:val="22"/>
        </w:rPr>
        <w:t>prevention, detection, and escalation</w:t>
      </w:r>
      <w:r>
        <w:rPr>
          <w:sz w:val="22"/>
          <w:szCs w:val="22"/>
        </w:rPr>
        <w:t xml:space="preserve">. The Kingfisher problem was never truly hidden. It was </w:t>
      </w:r>
      <w:r>
        <w:rPr>
          <w:b/>
          <w:bCs/>
          <w:sz w:val="22"/>
          <w:szCs w:val="22"/>
        </w:rPr>
        <w:t>un-pooled</w:t>
      </w:r>
      <w:r>
        <w:rPr>
          <w:sz w:val="22"/>
          <w:szCs w:val="22"/>
        </w:rPr>
        <w:t>: each bank watched its own account and nobody watched the money.</w:t>
      </w:r>
    </w:p>
    <w:p w14:paraId="2AC721E6" w14:textId="77777777" w:rsidR="0094274C" w:rsidRPr="00971EFD" w:rsidRDefault="00000000">
      <w:pPr>
        <w:pStyle w:val="Heading2"/>
        <w:keepNext/>
        <w:spacing w:before="160" w:after="80"/>
        <w:rPr>
          <w:color w:val="000000" w:themeColor="text1"/>
        </w:rPr>
      </w:pPr>
      <w:r w:rsidRPr="00971EFD">
        <w:rPr>
          <w:b/>
          <w:bCs/>
          <w:color w:val="000000" w:themeColor="text1"/>
          <w:sz w:val="24"/>
          <w:szCs w:val="24"/>
        </w:rPr>
        <w:t>4.1 Prevention — Controlling Where the Money Goes</w:t>
      </w:r>
    </w:p>
    <w:p w14:paraId="346C3EA9" w14:textId="77777777" w:rsidR="0094274C" w:rsidRDefault="00000000">
      <w:pPr>
        <w:spacing w:after="120" w:line="290" w:lineRule="auto"/>
        <w:jc w:val="both"/>
      </w:pPr>
      <w:r>
        <w:rPr>
          <w:sz w:val="22"/>
          <w:szCs w:val="22"/>
        </w:rPr>
        <w:t xml:space="preserve">The greatest structural weakness was that </w:t>
      </w:r>
      <w:r>
        <w:rPr>
          <w:b/>
          <w:bCs/>
          <w:sz w:val="22"/>
          <w:szCs w:val="22"/>
        </w:rPr>
        <w:t>loan proceeds and airline revenue were not bank-controlled</w:t>
      </w:r>
      <w:r>
        <w:rPr>
          <w:sz w:val="22"/>
          <w:szCs w:val="22"/>
        </w:rPr>
        <w:t xml:space="preserve">. I would have routed sales receipts and drawdowns through escrow and trust-and-retention accounts, with payment-level data streamed by API into a shared consortium data warehouse. Payees would be matched against company-registry and director data to tag related parties. Soft collateral, such as the brand and promoter shares, would be taken at heavy haircuts and </w:t>
      </w:r>
      <w:r>
        <w:rPr>
          <w:sz w:val="22"/>
          <w:szCs w:val="22"/>
        </w:rPr>
        <w:lastRenderedPageBreak/>
        <w:t>revalued independently each quarter, and no restructuring would be approved without an independent viability review.</w:t>
      </w:r>
    </w:p>
    <w:p w14:paraId="37ACA586" w14:textId="77777777" w:rsidR="0094274C" w:rsidRPr="00971EFD" w:rsidRDefault="00000000">
      <w:pPr>
        <w:pStyle w:val="Heading2"/>
        <w:keepNext/>
        <w:spacing w:before="160" w:after="80"/>
        <w:rPr>
          <w:color w:val="000000" w:themeColor="text1"/>
        </w:rPr>
      </w:pPr>
      <w:r w:rsidRPr="00971EFD">
        <w:rPr>
          <w:b/>
          <w:bCs/>
          <w:color w:val="000000" w:themeColor="text1"/>
          <w:sz w:val="24"/>
          <w:szCs w:val="24"/>
        </w:rPr>
        <w:t>4.2 Detection — Deploying Analytics Against the Lenders’ Data</w:t>
      </w:r>
    </w:p>
    <w:p w14:paraId="7556CE22" w14:textId="77777777" w:rsidR="0094274C" w:rsidRDefault="00000000">
      <w:pPr>
        <w:spacing w:after="120" w:line="290" w:lineRule="auto"/>
        <w:jc w:val="both"/>
      </w:pPr>
      <w:r>
        <w:rPr>
          <w:sz w:val="22"/>
          <w:szCs w:val="22"/>
        </w:rPr>
        <w:t>I would have run a continuous monitoring pipeline across the whole consortium. Five techniques would have been particularly effective:</w:t>
      </w:r>
    </w:p>
    <w:p w14:paraId="1E2EE0FF" w14:textId="77777777" w:rsidR="0094274C" w:rsidRDefault="00000000">
      <w:pPr>
        <w:pStyle w:val="ListParagraph"/>
        <w:numPr>
          <w:ilvl w:val="0"/>
          <w:numId w:val="2"/>
        </w:numPr>
        <w:spacing w:after="80" w:line="290" w:lineRule="auto"/>
        <w:jc w:val="both"/>
      </w:pPr>
      <w:r>
        <w:rPr>
          <w:b/>
          <w:bCs/>
          <w:sz w:val="22"/>
          <w:szCs w:val="22"/>
        </w:rPr>
        <w:t>Graph analytics on the funds flow</w:t>
      </w:r>
      <w:r>
        <w:rPr>
          <w:sz w:val="22"/>
          <w:szCs w:val="22"/>
        </w:rPr>
        <w:t xml:space="preserve"> linking the airline, UB Group entities, directors, vendors and overseas accounts would have exposed one-way flows from the airline to promoter-linked entities.</w:t>
      </w:r>
    </w:p>
    <w:p w14:paraId="077A46D2" w14:textId="77777777" w:rsidR="0094274C" w:rsidRDefault="00000000">
      <w:pPr>
        <w:pStyle w:val="ListParagraph"/>
        <w:numPr>
          <w:ilvl w:val="0"/>
          <w:numId w:val="2"/>
        </w:numPr>
        <w:spacing w:after="80" w:line="290" w:lineRule="auto"/>
        <w:jc w:val="both"/>
      </w:pPr>
      <w:r>
        <w:rPr>
          <w:b/>
          <w:bCs/>
          <w:sz w:val="22"/>
          <w:szCs w:val="22"/>
        </w:rPr>
        <w:t>Distress scoring</w:t>
      </w:r>
      <w:r>
        <w:rPr>
          <w:sz w:val="22"/>
          <w:szCs w:val="22"/>
        </w:rPr>
        <w:t xml:space="preserve"> with Altman’s Z-score and cash-interest cover, plus an early-warning model on overdue tags, statutory arrears and letter-of-credit </w:t>
      </w:r>
      <w:proofErr w:type="spellStart"/>
      <w:r>
        <w:rPr>
          <w:sz w:val="22"/>
          <w:szCs w:val="22"/>
        </w:rPr>
        <w:t>devolvements</w:t>
      </w:r>
      <w:proofErr w:type="spellEnd"/>
      <w:r>
        <w:rPr>
          <w:sz w:val="22"/>
          <w:szCs w:val="22"/>
        </w:rPr>
        <w:t>, would have placed the airline in the distress zone for years before default.</w:t>
      </w:r>
    </w:p>
    <w:p w14:paraId="78FB91E5" w14:textId="77777777" w:rsidR="0094274C" w:rsidRDefault="00000000">
      <w:pPr>
        <w:pStyle w:val="ListParagraph"/>
        <w:numPr>
          <w:ilvl w:val="0"/>
          <w:numId w:val="2"/>
        </w:numPr>
        <w:spacing w:after="80" w:line="290" w:lineRule="auto"/>
        <w:jc w:val="both"/>
      </w:pPr>
      <w:r>
        <w:rPr>
          <w:b/>
          <w:bCs/>
          <w:sz w:val="22"/>
          <w:szCs w:val="22"/>
        </w:rPr>
        <w:t>Peer benchmarking and anomaly detection</w:t>
      </w:r>
      <w:r>
        <w:rPr>
          <w:sz w:val="22"/>
          <w:szCs w:val="22"/>
        </w:rPr>
        <w:t xml:space="preserve"> (for example Isolation Forest) on load factor, fuel cost per seat-km and cost per aircraft would have shown costs and capacity out of line with revenue.</w:t>
      </w:r>
    </w:p>
    <w:p w14:paraId="6618F374" w14:textId="77777777" w:rsidR="0094274C" w:rsidRDefault="00000000">
      <w:pPr>
        <w:pStyle w:val="ListParagraph"/>
        <w:numPr>
          <w:ilvl w:val="0"/>
          <w:numId w:val="2"/>
        </w:numPr>
        <w:spacing w:after="80" w:line="290" w:lineRule="auto"/>
        <w:jc w:val="both"/>
      </w:pPr>
      <w:r>
        <w:rPr>
          <w:b/>
          <w:bCs/>
          <w:sz w:val="22"/>
          <w:szCs w:val="22"/>
        </w:rPr>
        <w:t>Collateral stress tests</w:t>
      </w:r>
      <w:r>
        <w:rPr>
          <w:sz w:val="22"/>
          <w:szCs w:val="22"/>
        </w:rPr>
        <w:t xml:space="preserve"> valuing pledged shares at market price with a haircut, and the brand at sale-evidence prices, would have shown security cover below 100%.</w:t>
      </w:r>
    </w:p>
    <w:p w14:paraId="66408D51" w14:textId="77777777" w:rsidR="0094274C" w:rsidRDefault="00000000">
      <w:pPr>
        <w:pStyle w:val="ListParagraph"/>
        <w:numPr>
          <w:ilvl w:val="0"/>
          <w:numId w:val="2"/>
        </w:numPr>
        <w:spacing w:after="80" w:line="290" w:lineRule="auto"/>
        <w:jc w:val="both"/>
      </w:pPr>
      <w:r>
        <w:rPr>
          <w:b/>
          <w:bCs/>
          <w:sz w:val="22"/>
          <w:szCs w:val="22"/>
        </w:rPr>
        <w:t>Evergreening and asset-watch rules</w:t>
      </w:r>
      <w:r>
        <w:rPr>
          <w:sz w:val="22"/>
          <w:szCs w:val="22"/>
        </w:rPr>
        <w:t xml:space="preserve"> would have flagged a recast followed by overdue interest, and would have caught the $40 million transfer within days of it landing.</w:t>
      </w:r>
    </w:p>
    <w:p w14:paraId="557A5702" w14:textId="77777777" w:rsidR="0094274C" w:rsidRDefault="00000000">
      <w:pPr>
        <w:spacing w:after="120" w:line="290" w:lineRule="auto"/>
        <w:jc w:val="both"/>
      </w:pPr>
      <w:r>
        <w:rPr>
          <w:sz w:val="22"/>
          <w:szCs w:val="22"/>
        </w:rPr>
        <w:t xml:space="preserve">Benford’s Law matters less here than in Wirecard, because the signal lay in the </w:t>
      </w:r>
      <w:r>
        <w:rPr>
          <w:b/>
          <w:bCs/>
          <w:sz w:val="22"/>
          <w:szCs w:val="22"/>
        </w:rPr>
        <w:t>flows and the collateral</w:t>
      </w:r>
      <w:r>
        <w:rPr>
          <w:sz w:val="22"/>
          <w:szCs w:val="22"/>
        </w:rPr>
        <w:t>, not the ledger. The test must fit the fraud.</w:t>
      </w:r>
    </w:p>
    <w:p w14:paraId="5168C7DC" w14:textId="77777777" w:rsidR="0094274C" w:rsidRPr="00971EFD" w:rsidRDefault="00000000">
      <w:pPr>
        <w:pStyle w:val="Heading2"/>
        <w:keepNext/>
        <w:spacing w:before="160" w:after="80"/>
        <w:rPr>
          <w:color w:val="000000" w:themeColor="text1"/>
        </w:rPr>
      </w:pPr>
      <w:r w:rsidRPr="00971EFD">
        <w:rPr>
          <w:b/>
          <w:bCs/>
          <w:color w:val="000000" w:themeColor="text1"/>
          <w:sz w:val="24"/>
          <w:szCs w:val="24"/>
        </w:rPr>
        <w:t>4.3 Escalation and Broader Reflection</w:t>
      </w:r>
    </w:p>
    <w:p w14:paraId="3BC81E7C" w14:textId="77777777" w:rsidR="0094274C" w:rsidRDefault="00000000">
      <w:pPr>
        <w:spacing w:after="120" w:line="290" w:lineRule="auto"/>
        <w:jc w:val="both"/>
      </w:pPr>
      <w:r>
        <w:rPr>
          <w:sz w:val="22"/>
          <w:szCs w:val="22"/>
        </w:rPr>
        <w:t xml:space="preserve">Detection is worthless without independence to act. I would have insisted that the analytics team report to the lead bank’s board and fraud committee, bypassing the relationship manager who sanctioned the loan, with a whistleblower channel for bank staff. Once flows to offshore entities are traced, the consortium should go at once to the RBI, ED and CBI and seek a lookout circular </w:t>
      </w:r>
      <w:r>
        <w:rPr>
          <w:b/>
          <w:bCs/>
          <w:sz w:val="22"/>
          <w:szCs w:val="22"/>
        </w:rPr>
        <w:t>before</w:t>
      </w:r>
      <w:r>
        <w:rPr>
          <w:sz w:val="22"/>
          <w:szCs w:val="22"/>
        </w:rPr>
        <w:t xml:space="preserve"> the borrower can leave. The deepest lesson is that </w:t>
      </w:r>
      <w:r>
        <w:rPr>
          <w:b/>
          <w:bCs/>
          <w:sz w:val="22"/>
          <w:szCs w:val="22"/>
        </w:rPr>
        <w:t>fraud thrives in the space between relationship and verification</w:t>
      </w:r>
      <w:r>
        <w:rPr>
          <w:sz w:val="22"/>
          <w:szCs w:val="22"/>
        </w:rPr>
        <w:t>: credit must be granted on cash-flow evidence, not on the prestige of the promoter.</w:t>
      </w:r>
    </w:p>
    <w:p w14:paraId="0746538A" w14:textId="77777777" w:rsidR="0094274C" w:rsidRPr="00971EFD" w:rsidRDefault="00000000">
      <w:pPr>
        <w:pStyle w:val="Heading1"/>
        <w:keepNext/>
        <w:spacing w:before="220" w:after="100"/>
        <w:rPr>
          <w:color w:val="000000" w:themeColor="text1"/>
        </w:rPr>
      </w:pPr>
      <w:r w:rsidRPr="00971EFD">
        <w:rPr>
          <w:b/>
          <w:bCs/>
          <w:color w:val="000000" w:themeColor="text1"/>
          <w:sz w:val="28"/>
          <w:szCs w:val="28"/>
        </w:rPr>
        <w:t>5. Conclusion</w:t>
      </w:r>
    </w:p>
    <w:p w14:paraId="2FFF9C77" w14:textId="77777777" w:rsidR="0094274C" w:rsidRDefault="00000000">
      <w:pPr>
        <w:spacing w:after="120" w:line="290" w:lineRule="auto"/>
        <w:jc w:val="both"/>
      </w:pPr>
      <w:r>
        <w:rPr>
          <w:sz w:val="22"/>
          <w:szCs w:val="22"/>
        </w:rPr>
        <w:t xml:space="preserve">The Kingfisher collapse remains one of India’s most visible corporate loan defaults and a defining case in the country’s bad-loan story. It shows how </w:t>
      </w:r>
      <w:r>
        <w:rPr>
          <w:b/>
          <w:bCs/>
          <w:sz w:val="22"/>
          <w:szCs w:val="22"/>
        </w:rPr>
        <w:t>promoter prestige, soft collateral, repeated restructuring and fragmented lender oversight</w:t>
      </w:r>
      <w:r>
        <w:rPr>
          <w:sz w:val="22"/>
          <w:szCs w:val="22"/>
        </w:rPr>
        <w:t xml:space="preserve"> can keep a failing business funded and let the money trail go cold. Recovery has been asymmetric: the airline is gone, employees and public-sector banks bore heavy costs, and the legal reckoning is still open ten years on. For a data-analytics practitioner, the case is a strong argument that pooled consortium data, end-use tracing, collateral stress testing and early-warning scores must be a </w:t>
      </w:r>
      <w:r>
        <w:rPr>
          <w:b/>
          <w:bCs/>
          <w:sz w:val="22"/>
          <w:szCs w:val="22"/>
        </w:rPr>
        <w:t>non-negotiable control layer</w:t>
      </w:r>
      <w:r>
        <w:rPr>
          <w:sz w:val="22"/>
          <w:szCs w:val="22"/>
        </w:rPr>
        <w:t xml:space="preserve"> in large-ticket lending.</w:t>
      </w:r>
    </w:p>
    <w:p w14:paraId="7C225812" w14:textId="77777777" w:rsidR="0094274C" w:rsidRPr="00971EFD" w:rsidRDefault="00000000">
      <w:pPr>
        <w:pStyle w:val="Heading1"/>
        <w:keepNext/>
        <w:spacing w:before="220" w:after="100"/>
        <w:rPr>
          <w:color w:val="000000" w:themeColor="text1"/>
        </w:rPr>
      </w:pPr>
      <w:r w:rsidRPr="00971EFD">
        <w:rPr>
          <w:b/>
          <w:bCs/>
          <w:color w:val="000000" w:themeColor="text1"/>
          <w:sz w:val="28"/>
          <w:szCs w:val="28"/>
        </w:rPr>
        <w:t>References</w:t>
      </w:r>
    </w:p>
    <w:p w14:paraId="4C999862" w14:textId="77777777" w:rsidR="0094274C" w:rsidRDefault="00000000">
      <w:pPr>
        <w:pStyle w:val="ListParagraph"/>
        <w:numPr>
          <w:ilvl w:val="0"/>
          <w:numId w:val="2"/>
        </w:numPr>
        <w:spacing w:after="80" w:line="290" w:lineRule="auto"/>
        <w:jc w:val="both"/>
      </w:pPr>
      <w:r>
        <w:rPr>
          <w:sz w:val="22"/>
          <w:szCs w:val="22"/>
        </w:rPr>
        <w:t>Supreme Court of India. (2017, 2020, 2022). Orders in the contempt proceedings against Vijay Mallya (State Bank of India v. Vijay Mallya), including the order of 11 July 2022.</w:t>
      </w:r>
    </w:p>
    <w:p w14:paraId="3B77CC88" w14:textId="77777777" w:rsidR="0094274C" w:rsidRDefault="00000000">
      <w:pPr>
        <w:pStyle w:val="ListParagraph"/>
        <w:numPr>
          <w:ilvl w:val="0"/>
          <w:numId w:val="2"/>
        </w:numPr>
        <w:spacing w:after="80" w:line="290" w:lineRule="auto"/>
        <w:jc w:val="both"/>
      </w:pPr>
      <w:r>
        <w:rPr>
          <w:sz w:val="22"/>
          <w:szCs w:val="22"/>
        </w:rPr>
        <w:lastRenderedPageBreak/>
        <w:t>Westminster Magistrates’ Court. (2018). Government of India v. Vijay Mallya, extradition judgment, 10 December 2018; High Court of Justice (2020), appeal dismissed, 20 April 2020.</w:t>
      </w:r>
    </w:p>
    <w:p w14:paraId="7DEE4A94" w14:textId="77777777" w:rsidR="0094274C" w:rsidRDefault="00000000">
      <w:pPr>
        <w:pStyle w:val="ListParagraph"/>
        <w:numPr>
          <w:ilvl w:val="0"/>
          <w:numId w:val="2"/>
        </w:numPr>
        <w:spacing w:after="80" w:line="290" w:lineRule="auto"/>
        <w:jc w:val="both"/>
      </w:pPr>
      <w:r>
        <w:rPr>
          <w:sz w:val="22"/>
          <w:szCs w:val="22"/>
        </w:rPr>
        <w:t>Debt Recovery Tribunal, Bengaluru (2013 claim); CBI and Enforcement Directorate charge-sheets in the IDBI–Kingfisher loan case (2017 onwards).</w:t>
      </w:r>
    </w:p>
    <w:p w14:paraId="39B0136A" w14:textId="77777777" w:rsidR="0094274C" w:rsidRDefault="00000000">
      <w:pPr>
        <w:pStyle w:val="ListParagraph"/>
        <w:numPr>
          <w:ilvl w:val="0"/>
          <w:numId w:val="2"/>
        </w:numPr>
        <w:spacing w:after="80" w:line="290" w:lineRule="auto"/>
        <w:jc w:val="both"/>
      </w:pPr>
      <w:r>
        <w:rPr>
          <w:sz w:val="22"/>
          <w:szCs w:val="22"/>
        </w:rPr>
        <w:t>Fugitive Economic Offenders Act, 2018; Prevention of Money Laundering Act, 2002; Insolvency and Bankruptcy Code, 2016 (India).</w:t>
      </w:r>
    </w:p>
    <w:p w14:paraId="32E5A8E5" w14:textId="77777777" w:rsidR="0094274C" w:rsidRDefault="00000000">
      <w:pPr>
        <w:pStyle w:val="ListParagraph"/>
        <w:numPr>
          <w:ilvl w:val="0"/>
          <w:numId w:val="2"/>
        </w:numPr>
        <w:spacing w:after="80" w:line="290" w:lineRule="auto"/>
        <w:jc w:val="both"/>
      </w:pPr>
      <w:r>
        <w:rPr>
          <w:sz w:val="22"/>
          <w:szCs w:val="22"/>
        </w:rPr>
        <w:t>Altman, E. I. (1968). Financial ratios, discriminant analysis and the prediction of corporate bankruptcy. Journal of Finance, 23(4), 589–609. Press reporting from Business Standard, Hindustan Times, Reuters and The Guardian (2012–2026).</w:t>
      </w:r>
    </w:p>
    <w:sectPr w:rsidR="0094274C" w:rsidSect="00971EFD">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0641D" w14:textId="77777777" w:rsidR="001A44F2" w:rsidRDefault="001A44F2">
      <w:r>
        <w:separator/>
      </w:r>
    </w:p>
  </w:endnote>
  <w:endnote w:type="continuationSeparator" w:id="0">
    <w:p w14:paraId="049E6C61" w14:textId="77777777" w:rsidR="001A44F2" w:rsidRDefault="001A4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A79F0" w14:textId="77777777" w:rsidR="0094274C"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71EFD">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71EFD">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BD813" w14:textId="77777777" w:rsidR="001A44F2" w:rsidRDefault="001A44F2">
      <w:r>
        <w:separator/>
      </w:r>
    </w:p>
  </w:footnote>
  <w:footnote w:type="continuationSeparator" w:id="0">
    <w:p w14:paraId="239F9F52" w14:textId="77777777" w:rsidR="001A44F2" w:rsidRDefault="001A44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F137F"/>
    <w:multiLevelType w:val="hybridMultilevel"/>
    <w:tmpl w:val="48AC6A1A"/>
    <w:lvl w:ilvl="0" w:tplc="FC641A54">
      <w:start w:val="1"/>
      <w:numFmt w:val="bullet"/>
      <w:lvlText w:val="•"/>
      <w:lvlJc w:val="left"/>
      <w:pPr>
        <w:ind w:left="720" w:hanging="360"/>
      </w:pPr>
    </w:lvl>
    <w:lvl w:ilvl="1" w:tplc="75442AFA">
      <w:numFmt w:val="decimal"/>
      <w:lvlText w:val=""/>
      <w:lvlJc w:val="left"/>
    </w:lvl>
    <w:lvl w:ilvl="2" w:tplc="0338BEC0">
      <w:numFmt w:val="decimal"/>
      <w:lvlText w:val=""/>
      <w:lvlJc w:val="left"/>
    </w:lvl>
    <w:lvl w:ilvl="3" w:tplc="6F601E26">
      <w:numFmt w:val="decimal"/>
      <w:lvlText w:val=""/>
      <w:lvlJc w:val="left"/>
    </w:lvl>
    <w:lvl w:ilvl="4" w:tplc="0B54E978">
      <w:numFmt w:val="decimal"/>
      <w:lvlText w:val=""/>
      <w:lvlJc w:val="left"/>
    </w:lvl>
    <w:lvl w:ilvl="5" w:tplc="39BE92A8">
      <w:numFmt w:val="decimal"/>
      <w:lvlText w:val=""/>
      <w:lvlJc w:val="left"/>
    </w:lvl>
    <w:lvl w:ilvl="6" w:tplc="CEBEEFAC">
      <w:numFmt w:val="decimal"/>
      <w:lvlText w:val=""/>
      <w:lvlJc w:val="left"/>
    </w:lvl>
    <w:lvl w:ilvl="7" w:tplc="2FE612E6">
      <w:numFmt w:val="decimal"/>
      <w:lvlText w:val=""/>
      <w:lvlJc w:val="left"/>
    </w:lvl>
    <w:lvl w:ilvl="8" w:tplc="898C2D0A">
      <w:numFmt w:val="decimal"/>
      <w:lvlText w:val=""/>
      <w:lvlJc w:val="left"/>
    </w:lvl>
  </w:abstractNum>
  <w:abstractNum w:abstractNumId="1" w15:restartNumberingAfterBreak="0">
    <w:nsid w:val="7C924A35"/>
    <w:multiLevelType w:val="hybridMultilevel"/>
    <w:tmpl w:val="46A0ED5A"/>
    <w:lvl w:ilvl="0" w:tplc="44BA20E4">
      <w:start w:val="1"/>
      <w:numFmt w:val="bullet"/>
      <w:lvlText w:val="●"/>
      <w:lvlJc w:val="left"/>
      <w:pPr>
        <w:ind w:left="720" w:hanging="360"/>
      </w:pPr>
    </w:lvl>
    <w:lvl w:ilvl="1" w:tplc="11C6599C">
      <w:start w:val="1"/>
      <w:numFmt w:val="bullet"/>
      <w:lvlText w:val="○"/>
      <w:lvlJc w:val="left"/>
      <w:pPr>
        <w:ind w:left="1440" w:hanging="360"/>
      </w:pPr>
    </w:lvl>
    <w:lvl w:ilvl="2" w:tplc="3D6A8890">
      <w:start w:val="1"/>
      <w:numFmt w:val="bullet"/>
      <w:lvlText w:val="■"/>
      <w:lvlJc w:val="left"/>
      <w:pPr>
        <w:ind w:left="2160" w:hanging="360"/>
      </w:pPr>
    </w:lvl>
    <w:lvl w:ilvl="3" w:tplc="A4C466C0">
      <w:start w:val="1"/>
      <w:numFmt w:val="bullet"/>
      <w:lvlText w:val="●"/>
      <w:lvlJc w:val="left"/>
      <w:pPr>
        <w:ind w:left="2880" w:hanging="360"/>
      </w:pPr>
    </w:lvl>
    <w:lvl w:ilvl="4" w:tplc="407C2C30">
      <w:start w:val="1"/>
      <w:numFmt w:val="bullet"/>
      <w:lvlText w:val="○"/>
      <w:lvlJc w:val="left"/>
      <w:pPr>
        <w:ind w:left="3600" w:hanging="360"/>
      </w:pPr>
    </w:lvl>
    <w:lvl w:ilvl="5" w:tplc="92485CE4">
      <w:start w:val="1"/>
      <w:numFmt w:val="bullet"/>
      <w:lvlText w:val="■"/>
      <w:lvlJc w:val="left"/>
      <w:pPr>
        <w:ind w:left="4320" w:hanging="360"/>
      </w:pPr>
    </w:lvl>
    <w:lvl w:ilvl="6" w:tplc="F334B356">
      <w:start w:val="1"/>
      <w:numFmt w:val="bullet"/>
      <w:lvlText w:val="●"/>
      <w:lvlJc w:val="left"/>
      <w:pPr>
        <w:ind w:left="5040" w:hanging="360"/>
      </w:pPr>
    </w:lvl>
    <w:lvl w:ilvl="7" w:tplc="A09CF44C">
      <w:start w:val="1"/>
      <w:numFmt w:val="bullet"/>
      <w:lvlText w:val="●"/>
      <w:lvlJc w:val="left"/>
      <w:pPr>
        <w:ind w:left="5760" w:hanging="360"/>
      </w:pPr>
    </w:lvl>
    <w:lvl w:ilvl="8" w:tplc="B7827BB6">
      <w:start w:val="1"/>
      <w:numFmt w:val="bullet"/>
      <w:lvlText w:val="●"/>
      <w:lvlJc w:val="left"/>
      <w:pPr>
        <w:ind w:left="6480" w:hanging="360"/>
      </w:pPr>
    </w:lvl>
  </w:abstractNum>
  <w:num w:numId="1" w16cid:durableId="133640442">
    <w:abstractNumId w:val="1"/>
    <w:lvlOverride w:ilvl="0">
      <w:startOverride w:val="1"/>
    </w:lvlOverride>
  </w:num>
  <w:num w:numId="2" w16cid:durableId="667826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74C"/>
    <w:rsid w:val="000C3983"/>
    <w:rsid w:val="001A44F2"/>
    <w:rsid w:val="0094274C"/>
    <w:rsid w:val="00971EFD"/>
    <w:rsid w:val="00E375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EB94F"/>
  <w15:docId w15:val="{39AEE893-650A-4B8D-83B9-762629B1E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1443</Words>
  <Characters>8226</Characters>
  <Application>Microsoft Office Word</Application>
  <DocSecurity>0</DocSecurity>
  <Lines>68</Lines>
  <Paragraphs>19</Paragraphs>
  <ScaleCrop>false</ScaleCrop>
  <Company/>
  <LinksUpToDate>false</LinksUpToDate>
  <CharactersWithSpaces>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Collapse of Kingfisher Airlines</dc:title>
  <dc:creator>Case Study</dc:creator>
  <cp:lastModifiedBy>Mithul Kumar</cp:lastModifiedBy>
  <cp:revision>2</cp:revision>
  <dcterms:created xsi:type="dcterms:W3CDTF">2026-10-01T18:25:00Z</dcterms:created>
  <dcterms:modified xsi:type="dcterms:W3CDTF">2026-10-01T18:25:00Z</dcterms:modified>
</cp:coreProperties>
</file>