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5560" w:rsidRDefault="00D56956">
      <w:pPr>
        <w:jc w:val="center"/>
      </w:pPr>
      <w:r>
        <w:rPr>
          <w:b/>
          <w:color w:val="800000"/>
          <w:sz w:val="50"/>
        </w:rPr>
        <w:t>VIT-AP UNIVERSITY</w:t>
      </w:r>
    </w:p>
    <w:p w:rsidR="007C5560" w:rsidRDefault="00D56956">
      <w:pPr>
        <w:jc w:val="center"/>
      </w:pPr>
      <w:r>
        <w:rPr>
          <w:b/>
        </w:rPr>
        <w:t>School of Computer Science and Engineering</w:t>
      </w:r>
    </w:p>
    <w:p w:rsidR="007C5560" w:rsidRDefault="00D56956">
      <w:pPr>
        <w:jc w:val="center"/>
      </w:pPr>
      <w:proofErr w:type="spellStart"/>
      <w:r>
        <w:t>B.Tech</w:t>
      </w:r>
      <w:proofErr w:type="spellEnd"/>
      <w:r>
        <w:t xml:space="preserve"> CSE and Specializations — Capstone Project</w:t>
      </w:r>
    </w:p>
    <w:p w:rsidR="007C5560" w:rsidRDefault="00D56956">
      <w:pPr>
        <w:spacing w:before="600"/>
        <w:jc w:val="center"/>
      </w:pPr>
      <w:r>
        <w:rPr>
          <w:b/>
          <w:color w:val="800000"/>
          <w:sz w:val="40"/>
        </w:rPr>
        <w:t>Review 1 Project Report</w:t>
      </w:r>
    </w:p>
    <w:p w:rsidR="007C5560" w:rsidRDefault="00D56956">
      <w:pPr>
        <w:jc w:val="center"/>
      </w:pPr>
      <w:proofErr w:type="spellStart"/>
      <w:r>
        <w:rPr>
          <w:b/>
          <w:color w:val="1F4E79"/>
          <w:sz w:val="28"/>
        </w:rPr>
        <w:t>ResQTwin</w:t>
      </w:r>
      <w:proofErr w:type="spellEnd"/>
      <w:r>
        <w:rPr>
          <w:b/>
          <w:color w:val="1F4E79"/>
          <w:sz w:val="28"/>
        </w:rPr>
        <w:t xml:space="preserve"> — AI-Driven Digital Twin for Urban Flood Emergency Response</w:t>
      </w:r>
    </w:p>
    <w:tbl>
      <w:tblPr>
        <w:tblStyle w:val="TableGrid"/>
        <w:tblW w:w="0" w:type="auto"/>
        <w:jc w:val="center"/>
        <w:tblLook w:val="04A0" w:firstRow="1" w:lastRow="0" w:firstColumn="1" w:lastColumn="0" w:noHBand="0" w:noVBand="1"/>
      </w:tblPr>
      <w:tblGrid>
        <w:gridCol w:w="4836"/>
        <w:gridCol w:w="4836"/>
      </w:tblGrid>
      <w:tr w:rsidR="007C5560" w:rsidTr="00421C0A">
        <w:trPr>
          <w:trHeight w:val="2098"/>
          <w:jc w:val="center"/>
        </w:trPr>
        <w:tc>
          <w:tcPr>
            <w:tcW w:w="4836" w:type="dxa"/>
            <w:shd w:val="clear" w:color="auto" w:fill="EDEDED"/>
            <w:vAlign w:val="center"/>
          </w:tcPr>
          <w:p w:rsidR="007C5560" w:rsidRDefault="00D56956">
            <w:r>
              <w:rPr>
                <w:b/>
                <w:sz w:val="19"/>
              </w:rPr>
              <w:t>Project Title</w:t>
            </w:r>
          </w:p>
        </w:tc>
        <w:tc>
          <w:tcPr>
            <w:tcW w:w="4836" w:type="dxa"/>
            <w:vAlign w:val="center"/>
          </w:tcPr>
          <w:p w:rsidR="007C5560" w:rsidRDefault="00D56956">
            <w:r>
              <w:rPr>
                <w:sz w:val="19"/>
              </w:rPr>
              <w:t>ResQTwin — AI-Driven Digital Twin for</w:t>
            </w:r>
            <w:r>
              <w:rPr>
                <w:sz w:val="19"/>
              </w:rPr>
              <w:t xml:space="preserve"> Urban Flood Emergency Response</w:t>
            </w:r>
          </w:p>
        </w:tc>
      </w:tr>
      <w:tr w:rsidR="007C5560" w:rsidTr="00421C0A">
        <w:trPr>
          <w:trHeight w:val="1049"/>
          <w:jc w:val="center"/>
        </w:trPr>
        <w:tc>
          <w:tcPr>
            <w:tcW w:w="4836" w:type="dxa"/>
            <w:shd w:val="clear" w:color="auto" w:fill="EDEDED"/>
            <w:vAlign w:val="center"/>
          </w:tcPr>
          <w:p w:rsidR="007C5560" w:rsidRDefault="00D56956">
            <w:r>
              <w:rPr>
                <w:b/>
                <w:sz w:val="19"/>
              </w:rPr>
              <w:t>Semester</w:t>
            </w:r>
          </w:p>
        </w:tc>
        <w:tc>
          <w:tcPr>
            <w:tcW w:w="4836" w:type="dxa"/>
            <w:vAlign w:val="center"/>
          </w:tcPr>
          <w:p w:rsidR="007C5560" w:rsidRDefault="00D56956">
            <w:r>
              <w:rPr>
                <w:sz w:val="19"/>
              </w:rPr>
              <w:t>Fall Semester 2026-27</w:t>
            </w:r>
          </w:p>
        </w:tc>
      </w:tr>
      <w:tr w:rsidR="007C5560" w:rsidTr="00421C0A">
        <w:trPr>
          <w:trHeight w:val="1049"/>
          <w:jc w:val="center"/>
        </w:trPr>
        <w:tc>
          <w:tcPr>
            <w:tcW w:w="4836" w:type="dxa"/>
            <w:shd w:val="clear" w:color="auto" w:fill="EDEDED"/>
            <w:vAlign w:val="center"/>
          </w:tcPr>
          <w:p w:rsidR="007C5560" w:rsidRDefault="00D56956">
            <w:r>
              <w:rPr>
                <w:b/>
                <w:sz w:val="19"/>
              </w:rPr>
              <w:t>Guide</w:t>
            </w:r>
          </w:p>
        </w:tc>
        <w:tc>
          <w:tcPr>
            <w:tcW w:w="4836" w:type="dxa"/>
            <w:vAlign w:val="center"/>
          </w:tcPr>
          <w:p w:rsidR="007C5560" w:rsidRDefault="00D56956">
            <w:r>
              <w:rPr>
                <w:sz w:val="19"/>
              </w:rPr>
              <w:t>Sandipan Maiti</w:t>
            </w:r>
          </w:p>
        </w:tc>
      </w:tr>
      <w:tr w:rsidR="007C5560" w:rsidTr="00421C0A">
        <w:trPr>
          <w:trHeight w:val="4312"/>
          <w:jc w:val="center"/>
        </w:trPr>
        <w:tc>
          <w:tcPr>
            <w:tcW w:w="4836" w:type="dxa"/>
            <w:shd w:val="clear" w:color="auto" w:fill="EDEDED"/>
            <w:vAlign w:val="center"/>
          </w:tcPr>
          <w:p w:rsidR="007C5560" w:rsidRDefault="00D56956">
            <w:r>
              <w:rPr>
                <w:b/>
                <w:sz w:val="19"/>
              </w:rPr>
              <w:t>Team Members</w:t>
            </w:r>
          </w:p>
        </w:tc>
        <w:tc>
          <w:tcPr>
            <w:tcW w:w="4836" w:type="dxa"/>
            <w:vAlign w:val="center"/>
          </w:tcPr>
          <w:p w:rsidR="007C5560" w:rsidRDefault="00D56956">
            <w:r>
              <w:rPr>
                <w:sz w:val="19"/>
              </w:rPr>
              <w:t>Mohammed Intekhab Khan (23BCE8654)</w:t>
            </w:r>
            <w:r>
              <w:rPr>
                <w:sz w:val="19"/>
              </w:rPr>
              <w:br/>
              <w:t>Raghav Bohora (23BCE8648)</w:t>
            </w:r>
            <w:r>
              <w:rPr>
                <w:sz w:val="19"/>
              </w:rPr>
              <w:br/>
              <w:t>Shivanshu Pau</w:t>
            </w:r>
            <w:r w:rsidR="00AA11D8">
              <w:rPr>
                <w:sz w:val="19"/>
              </w:rPr>
              <w:t>skar (23BCE8662)</w:t>
            </w:r>
            <w:r w:rsidR="00AA11D8">
              <w:rPr>
                <w:sz w:val="19"/>
              </w:rPr>
              <w:br/>
            </w:r>
            <w:proofErr w:type="spellStart"/>
            <w:r w:rsidR="00AA11D8">
              <w:rPr>
                <w:sz w:val="19"/>
              </w:rPr>
              <w:t>Druthi</w:t>
            </w:r>
            <w:proofErr w:type="spellEnd"/>
            <w:r w:rsidR="00AA11D8">
              <w:rPr>
                <w:sz w:val="19"/>
              </w:rPr>
              <w:t xml:space="preserve"> Sai </w:t>
            </w:r>
            <w:proofErr w:type="spellStart"/>
            <w:r w:rsidR="00AA11D8">
              <w:rPr>
                <w:sz w:val="19"/>
              </w:rPr>
              <w:t>Meda</w:t>
            </w:r>
            <w:r>
              <w:rPr>
                <w:sz w:val="19"/>
              </w:rPr>
              <w:t>mpudi</w:t>
            </w:r>
            <w:proofErr w:type="spellEnd"/>
            <w:r>
              <w:rPr>
                <w:sz w:val="19"/>
              </w:rPr>
              <w:t xml:space="preserve"> (23BCE8666)</w:t>
            </w:r>
          </w:p>
        </w:tc>
      </w:tr>
    </w:tbl>
    <w:p w:rsidR="007C5560" w:rsidRDefault="00D56956">
      <w:r>
        <w:br w:type="page"/>
      </w:r>
    </w:p>
    <w:p w:rsidR="007C5560" w:rsidRDefault="00D56956">
      <w:pPr>
        <w:pStyle w:val="Heading1"/>
        <w:spacing w:before="140" w:after="80"/>
      </w:pPr>
      <w:r>
        <w:lastRenderedPageBreak/>
        <w:t>1. Introduction</w:t>
      </w:r>
    </w:p>
    <w:p w:rsidR="007C5560" w:rsidRDefault="00D56956">
      <w:pPr>
        <w:pStyle w:val="Heading2"/>
        <w:spacing w:before="140" w:after="80"/>
      </w:pPr>
      <w:r>
        <w:t>1.1 Backgroun</w:t>
      </w:r>
      <w:r>
        <w:t>d</w:t>
      </w:r>
    </w:p>
    <w:p w:rsidR="007C5560" w:rsidRDefault="00D56956">
      <w:pPr>
        <w:spacing w:after="100" w:line="259" w:lineRule="auto"/>
      </w:pPr>
      <w:r>
        <w:t>Urban flooding is a complex disaster-management problem in which rainfall intensity, water levels, terrain, drainage, land use, infrastructure and human exposure interact over space and time. Modern remote sensing and machine-learning methods can provide</w:t>
      </w:r>
      <w:r>
        <w:t xml:space="preserve"> rapid flood extent estimation, while digital-twin concepts can combine heterogeneous data to represent the evolving state of a city. However, prediction alone is not sufficient for emergency response.</w:t>
      </w:r>
    </w:p>
    <w:p w:rsidR="007C5560" w:rsidRDefault="00D56956">
      <w:pPr>
        <w:spacing w:after="100" w:line="259" w:lineRule="auto"/>
      </w:pPr>
      <w:r>
        <w:t>Recent research shows that uncertainty is present thro</w:t>
      </w:r>
      <w:r>
        <w:t>ughout the flood-modelling pipeline. The 2026 systematic review by Idowu and Alfahid identifies fragmented uncertainty workflows and calls for end-to-end probabilistic pipelines that integrate heterogeneous data, quantify uncertainty across stages, and com</w:t>
      </w:r>
      <w:r>
        <w:t>municate actionable risk information.</w:t>
      </w:r>
    </w:p>
    <w:p w:rsidR="007C5560" w:rsidRDefault="00D56956">
      <w:pPr>
        <w:spacing w:after="100" w:line="259" w:lineRule="auto"/>
      </w:pPr>
      <w:r>
        <w:t>ResQTwin therefore focuses on Chennai as a single mandatory case study for urban flooding and aims to connect AI-based flood prediction, Sentinel-1 satellite flood segmentation, geospatial impact analysis and human-cen</w:t>
      </w:r>
      <w:r>
        <w:t>tered emergency decision support.</w:t>
      </w:r>
    </w:p>
    <w:p w:rsidR="007C5560" w:rsidRDefault="00D56956">
      <w:pPr>
        <w:pStyle w:val="Heading2"/>
        <w:spacing w:before="140" w:after="80"/>
      </w:pPr>
      <w:r>
        <w:t>1.2 Motivation</w:t>
      </w:r>
    </w:p>
    <w:p w:rsidR="007C5560" w:rsidRDefault="00D56956">
      <w:pPr>
        <w:spacing w:after="100" w:line="259" w:lineRule="auto"/>
      </w:pPr>
      <w:r>
        <w:t>Existing flood systems often emphasize predicting where or when flooding may occur. Emergency users also need to know how reliable the prediction is, what factors contributed to it, what areas or roads may b</w:t>
      </w:r>
      <w:r>
        <w:t>e affected, and what alternative actions are available. Tran et al. (2026) argue that many flood early-warning systems remain prediction-centric and provide limited support for uncertainty interpretation, risk communication and real-world response.</w:t>
      </w:r>
    </w:p>
    <w:p w:rsidR="007C5560" w:rsidRDefault="00D56956">
      <w:pPr>
        <w:spacing w:after="100" w:line="259" w:lineRule="auto"/>
      </w:pPr>
      <w:r>
        <w:t>The mot</w:t>
      </w:r>
      <w:r>
        <w:t>ivation for ResQTwin is not to claim that uncertainty estimation itself is new. Instead, the project investigates whether uncertainty can be carried from multi-source AI predictions through flood mapping and impact assessment into understandable, decision-</w:t>
      </w:r>
      <w:r>
        <w:t>oriented recommendations.</w:t>
      </w:r>
    </w:p>
    <w:p w:rsidR="007C5560" w:rsidRDefault="00D56956">
      <w:pPr>
        <w:pStyle w:val="Heading2"/>
        <w:spacing w:before="140" w:after="80"/>
      </w:pPr>
      <w:r>
        <w:t>1.3 Objective</w:t>
      </w:r>
    </w:p>
    <w:p w:rsidR="007C5560" w:rsidRDefault="00D56956">
      <w:pPr>
        <w:spacing w:after="100" w:line="259" w:lineRule="auto"/>
      </w:pPr>
      <w:r>
        <w:t>The primary objective of ResQTwin is to develop a prototype AI-driven digital twin framework for Chennai urban flood response that combines multi-source environmental data, satellite-based flood segmentation, uncerta</w:t>
      </w:r>
      <w:r>
        <w:t>inty estimation and geospatial impact analysis to produce explainable and human-centered emergency decision support.</w:t>
      </w:r>
    </w:p>
    <w:p w:rsidR="007C5560" w:rsidRDefault="00D56956">
      <w:pPr>
        <w:spacing w:after="100" w:line="259" w:lineRule="auto"/>
      </w:pPr>
      <w:r>
        <w:t>Specific objectives are to: (i) develop a flood-risk prediction component using environmental and geographical inputs, (ii) develop and eva</w:t>
      </w:r>
      <w:r>
        <w:t>luate Sentinel-1 SAR flood segmentation, (iii) quantify and propagate prediction uncertainty, (iv) identify potential impacts on roads, population and critical facilities, and (v) communicate recommendations together with confidence, limitations and altern</w:t>
      </w:r>
      <w:r>
        <w:t>atives.</w:t>
      </w:r>
    </w:p>
    <w:p w:rsidR="007C5560" w:rsidRDefault="00D56956">
      <w:pPr>
        <w:pStyle w:val="Heading2"/>
        <w:spacing w:before="140" w:after="80"/>
      </w:pPr>
      <w:r>
        <w:t>1.4 Scope</w:t>
      </w:r>
    </w:p>
    <w:p w:rsidR="007C5560" w:rsidRDefault="00D56956">
      <w:pPr>
        <w:spacing w:after="100" w:line="259" w:lineRule="auto"/>
      </w:pPr>
      <w:r>
        <w:t xml:space="preserve">The current scope is intentionally limited to Chennai and urban flooding so that the team can build and evaluate an end-to-end prototype within the capstone timeline. Additional cities or disaster types are optional future extensions and </w:t>
      </w:r>
      <w:r>
        <w:t>are not required for the core contribution.</w:t>
      </w:r>
    </w:p>
    <w:p w:rsidR="007C5560" w:rsidRDefault="00D56956">
      <w:pPr>
        <w:spacing w:after="100" w:line="259" w:lineRule="auto"/>
      </w:pPr>
      <w:r>
        <w:t>The project does not require custom hardware or IoT sensors. It is designed as a software-based system using publicly available and academically appropriate datasets and APIs. Closed-loop real-time updating is an</w:t>
      </w:r>
      <w:r>
        <w:t xml:space="preserve"> optional future enhancement rather than a primary research contribution.</w:t>
      </w:r>
    </w:p>
    <w:p w:rsidR="007C5560" w:rsidRDefault="00D56956">
      <w:r>
        <w:br w:type="page"/>
      </w:r>
    </w:p>
    <w:p w:rsidR="007C5560" w:rsidRDefault="00D56956">
      <w:pPr>
        <w:pStyle w:val="Heading1"/>
        <w:spacing w:before="140" w:after="80"/>
      </w:pPr>
      <w:r>
        <w:lastRenderedPageBreak/>
        <w:t>2. Related Work and Baseline</w:t>
      </w:r>
    </w:p>
    <w:p w:rsidR="007C5560" w:rsidRDefault="00D56956">
      <w:pPr>
        <w:spacing w:after="100" w:line="259" w:lineRule="auto"/>
      </w:pPr>
      <w:r>
        <w:t>The literature review was conducted to identify what is already established in flood prediction, remote-sensing segmentation, digital twins, uncertaint</w:t>
      </w:r>
      <w:r>
        <w:t>y quantification and decision support. The comparison is focused on the research gap addressed by ResQTwin rather than claiming that individual techniques are novel.</w:t>
      </w:r>
    </w:p>
    <w:p w:rsidR="007C5560" w:rsidRDefault="00D56956">
      <w:pPr>
        <w:pStyle w:val="Heading2"/>
        <w:spacing w:before="140" w:after="80"/>
      </w:pPr>
      <w:r>
        <w:t>2.1 Idowu and Alfahid (2026) — Uncertainty Quantification in Flood Modelling</w:t>
      </w:r>
    </w:p>
    <w:p w:rsidR="007C5560" w:rsidRDefault="00D56956">
      <w:pPr>
        <w:spacing w:after="100" w:line="259" w:lineRule="auto"/>
      </w:pPr>
      <w:r>
        <w:t>The 2026 syst</w:t>
      </w:r>
      <w:r>
        <w:t>ematic review identifies eight open problems in flood-model uncertainty quantification, including uncertainty propagation, incomplete representation of uncertainties, data integration, spatial and temporal variability, and extreme-event uncertainty. It emp</w:t>
      </w:r>
      <w:r>
        <w:t>hasizes that current workflows are fragmented and calls for seamless end-to-end probabilistic pipelines and actionable risk communication.</w:t>
      </w:r>
    </w:p>
    <w:p w:rsidR="007C5560" w:rsidRDefault="00D56956">
      <w:pPr>
        <w:pStyle w:val="Heading2"/>
        <w:spacing w:before="140" w:after="80"/>
      </w:pPr>
      <w:r>
        <w:t>2.2 Manyaka et al. (2026) — Remote Sensing and Machine Learning for Flood Modelling</w:t>
      </w:r>
    </w:p>
    <w:p w:rsidR="007C5560" w:rsidRDefault="00D56956">
      <w:pPr>
        <w:spacing w:after="100" w:line="259" w:lineRule="auto"/>
      </w:pPr>
      <w:r>
        <w:t>This systematic review examines M</w:t>
      </w:r>
      <w:r>
        <w:t>L and remote sensing flood-modelling research from 2010–2025. It reports extensive use of Sentinel-1/2, Landsat and MODIS, but identifies gaps including uncertainty quantification, standardized benchmarking and reproducibility. It recommends uncertainty-aw</w:t>
      </w:r>
      <w:r>
        <w:t>are methods and transparent deployment.</w:t>
      </w:r>
    </w:p>
    <w:p w:rsidR="007C5560" w:rsidRDefault="00D56956">
      <w:pPr>
        <w:pStyle w:val="Heading2"/>
        <w:spacing w:before="140" w:after="80"/>
      </w:pPr>
      <w:r>
        <w:t>2.3 Tran et al. (2026) — FEWS-DM</w:t>
      </w:r>
    </w:p>
    <w:p w:rsidR="007C5560" w:rsidRDefault="00D56956">
      <w:pPr>
        <w:spacing w:after="100" w:line="259" w:lineRule="auto"/>
      </w:pPr>
      <w:r>
        <w:t>Tran et al. propose a flood early-warning decision-making framework coupling physical science, human science and decision science. The paper identifies limited uncertainty interpretat</w:t>
      </w:r>
      <w:r>
        <w:t>ion, risk communication and real-world response support in many systems, and emphasizes human-centered design and end-to-end uncertainty management.</w:t>
      </w:r>
    </w:p>
    <w:p w:rsidR="007C5560" w:rsidRDefault="00D56956">
      <w:pPr>
        <w:pStyle w:val="Heading2"/>
        <w:spacing w:before="140" w:after="80"/>
      </w:pPr>
      <w:r>
        <w:t>2.4 Inyang and Taghikhah (2025) — Digital Twin-Based Disaster Decision Support</w:t>
      </w:r>
    </w:p>
    <w:p w:rsidR="007C5560" w:rsidRDefault="00D56956">
      <w:pPr>
        <w:spacing w:after="100" w:line="259" w:lineRule="auto"/>
      </w:pPr>
      <w:r>
        <w:t>This systematic review exami</w:t>
      </w:r>
      <w:r>
        <w:t>nes digital-twin decision-support systems for natural disaster management, including data collection, computational approaches and emergency decision tasks. It identifies research gaps and future directions for AI-assisted digital twins in disaster managem</w:t>
      </w:r>
      <w:r>
        <w:t>ent.</w:t>
      </w:r>
    </w:p>
    <w:p w:rsidR="007C5560" w:rsidRDefault="00D56956">
      <w:r>
        <w:br w:type="page"/>
      </w:r>
    </w:p>
    <w:p w:rsidR="007C5560" w:rsidRDefault="00D56956">
      <w:pPr>
        <w:pStyle w:val="Heading2"/>
        <w:spacing w:before="140" w:after="80"/>
      </w:pPr>
      <w:r>
        <w:lastRenderedPageBreak/>
        <w:t>2.5 Comparison and Identified Gap</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7C5560">
        <w:trPr>
          <w:jc w:val="center"/>
        </w:trPr>
        <w:tc>
          <w:tcPr>
            <w:tcW w:w="2016" w:type="dxa"/>
            <w:shd w:val="clear" w:color="auto" w:fill="EDEDED"/>
            <w:vAlign w:val="center"/>
          </w:tcPr>
          <w:p w:rsidR="007C5560" w:rsidRDefault="00D56956">
            <w:r>
              <w:rPr>
                <w:b/>
                <w:sz w:val="16"/>
              </w:rPr>
              <w:t>Approach</w:t>
            </w:r>
          </w:p>
        </w:tc>
        <w:tc>
          <w:tcPr>
            <w:tcW w:w="2016" w:type="dxa"/>
            <w:shd w:val="clear" w:color="auto" w:fill="EDEDED"/>
            <w:vAlign w:val="center"/>
          </w:tcPr>
          <w:p w:rsidR="007C5560" w:rsidRDefault="00D56956">
            <w:r>
              <w:rPr>
                <w:b/>
                <w:sz w:val="16"/>
              </w:rPr>
              <w:t>Flood Prediction /</w:t>
            </w:r>
            <w:r>
              <w:rPr>
                <w:b/>
                <w:sz w:val="16"/>
              </w:rPr>
              <w:br/>
              <w:t>Mapping</w:t>
            </w:r>
          </w:p>
        </w:tc>
        <w:tc>
          <w:tcPr>
            <w:tcW w:w="2016" w:type="dxa"/>
            <w:shd w:val="clear" w:color="auto" w:fill="EDEDED"/>
            <w:vAlign w:val="center"/>
          </w:tcPr>
          <w:p w:rsidR="007C5560" w:rsidRDefault="00D56956">
            <w:r>
              <w:rPr>
                <w:b/>
                <w:sz w:val="16"/>
              </w:rPr>
              <w:t>Uncertainty</w:t>
            </w:r>
          </w:p>
        </w:tc>
        <w:tc>
          <w:tcPr>
            <w:tcW w:w="2016" w:type="dxa"/>
            <w:shd w:val="clear" w:color="auto" w:fill="EDEDED"/>
            <w:vAlign w:val="center"/>
          </w:tcPr>
          <w:p w:rsidR="007C5560" w:rsidRDefault="00D56956">
            <w:r>
              <w:rPr>
                <w:b/>
                <w:sz w:val="16"/>
              </w:rPr>
              <w:t>Digital Twin /</w:t>
            </w:r>
            <w:r>
              <w:rPr>
                <w:b/>
                <w:sz w:val="16"/>
              </w:rPr>
              <w:br/>
              <w:t>DSS</w:t>
            </w:r>
          </w:p>
        </w:tc>
        <w:tc>
          <w:tcPr>
            <w:tcW w:w="2016" w:type="dxa"/>
            <w:shd w:val="clear" w:color="auto" w:fill="EDEDED"/>
            <w:vAlign w:val="center"/>
          </w:tcPr>
          <w:p w:rsidR="007C5560" w:rsidRDefault="00D56956">
            <w:r>
              <w:rPr>
                <w:b/>
                <w:sz w:val="16"/>
              </w:rPr>
              <w:t>Gap Addressed by ResQTwin</w:t>
            </w:r>
          </w:p>
        </w:tc>
      </w:tr>
      <w:tr w:rsidR="007C5560">
        <w:trPr>
          <w:jc w:val="center"/>
        </w:trPr>
        <w:tc>
          <w:tcPr>
            <w:tcW w:w="2016" w:type="dxa"/>
            <w:vAlign w:val="center"/>
          </w:tcPr>
          <w:p w:rsidR="007C5560" w:rsidRDefault="00D56956">
            <w:r>
              <w:rPr>
                <w:sz w:val="16"/>
              </w:rPr>
              <w:t>Idowu &amp; Alfahid (2026)</w:t>
            </w:r>
          </w:p>
        </w:tc>
        <w:tc>
          <w:tcPr>
            <w:tcW w:w="2016" w:type="dxa"/>
            <w:vAlign w:val="center"/>
          </w:tcPr>
          <w:p w:rsidR="007C5560" w:rsidRDefault="00D56956">
            <w:r>
              <w:rPr>
                <w:sz w:val="16"/>
              </w:rPr>
              <w:t>✓</w:t>
            </w:r>
          </w:p>
        </w:tc>
        <w:tc>
          <w:tcPr>
            <w:tcW w:w="2016" w:type="dxa"/>
            <w:vAlign w:val="center"/>
          </w:tcPr>
          <w:p w:rsidR="007C5560" w:rsidRDefault="00D56956">
            <w:r>
              <w:rPr>
                <w:sz w:val="16"/>
              </w:rPr>
              <w:t>✓</w:t>
            </w:r>
          </w:p>
        </w:tc>
        <w:tc>
          <w:tcPr>
            <w:tcW w:w="2016" w:type="dxa"/>
            <w:vAlign w:val="center"/>
          </w:tcPr>
          <w:p w:rsidR="007C5560" w:rsidRDefault="00D56956">
            <w:r>
              <w:rPr>
                <w:sz w:val="16"/>
              </w:rPr>
              <w:t>Partial</w:t>
            </w:r>
          </w:p>
        </w:tc>
        <w:tc>
          <w:tcPr>
            <w:tcW w:w="2016" w:type="dxa"/>
            <w:vAlign w:val="center"/>
          </w:tcPr>
          <w:p w:rsidR="007C5560" w:rsidRDefault="00D56956">
            <w:r>
              <w:rPr>
                <w:sz w:val="16"/>
              </w:rPr>
              <w:t>End-to-end uncertainty pipeline</w:t>
            </w:r>
          </w:p>
        </w:tc>
      </w:tr>
      <w:tr w:rsidR="007C5560">
        <w:trPr>
          <w:jc w:val="center"/>
        </w:trPr>
        <w:tc>
          <w:tcPr>
            <w:tcW w:w="2016" w:type="dxa"/>
            <w:vAlign w:val="center"/>
          </w:tcPr>
          <w:p w:rsidR="007C5560" w:rsidRDefault="00D56956">
            <w:r>
              <w:rPr>
                <w:sz w:val="16"/>
              </w:rPr>
              <w:t>Manyaka et al. (2026)</w:t>
            </w:r>
          </w:p>
        </w:tc>
        <w:tc>
          <w:tcPr>
            <w:tcW w:w="2016" w:type="dxa"/>
            <w:vAlign w:val="center"/>
          </w:tcPr>
          <w:p w:rsidR="007C5560" w:rsidRDefault="00D56956">
            <w:r>
              <w:rPr>
                <w:sz w:val="16"/>
              </w:rPr>
              <w:t>✓</w:t>
            </w:r>
          </w:p>
        </w:tc>
        <w:tc>
          <w:tcPr>
            <w:tcW w:w="2016" w:type="dxa"/>
            <w:vAlign w:val="center"/>
          </w:tcPr>
          <w:p w:rsidR="007C5560" w:rsidRDefault="00D56956">
            <w:r>
              <w:rPr>
                <w:sz w:val="16"/>
              </w:rPr>
              <w:t>Gap identified</w:t>
            </w:r>
          </w:p>
        </w:tc>
        <w:tc>
          <w:tcPr>
            <w:tcW w:w="2016" w:type="dxa"/>
            <w:vAlign w:val="center"/>
          </w:tcPr>
          <w:p w:rsidR="007C5560" w:rsidRDefault="00D56956">
            <w:r>
              <w:rPr>
                <w:sz w:val="16"/>
              </w:rPr>
              <w:t>—</w:t>
            </w:r>
          </w:p>
        </w:tc>
        <w:tc>
          <w:tcPr>
            <w:tcW w:w="2016" w:type="dxa"/>
            <w:vAlign w:val="center"/>
          </w:tcPr>
          <w:p w:rsidR="007C5560" w:rsidRDefault="00D56956">
            <w:r>
              <w:rPr>
                <w:sz w:val="16"/>
              </w:rPr>
              <w:t>Uncertainty-aware RS/ML workflow</w:t>
            </w:r>
          </w:p>
        </w:tc>
      </w:tr>
      <w:tr w:rsidR="007C5560">
        <w:trPr>
          <w:jc w:val="center"/>
        </w:trPr>
        <w:tc>
          <w:tcPr>
            <w:tcW w:w="2016" w:type="dxa"/>
            <w:vAlign w:val="center"/>
          </w:tcPr>
          <w:p w:rsidR="007C5560" w:rsidRDefault="00D56956">
            <w:r>
              <w:rPr>
                <w:sz w:val="16"/>
              </w:rPr>
              <w:t>Tran et al. (2026)</w:t>
            </w:r>
          </w:p>
        </w:tc>
        <w:tc>
          <w:tcPr>
            <w:tcW w:w="2016" w:type="dxa"/>
            <w:vAlign w:val="center"/>
          </w:tcPr>
          <w:p w:rsidR="007C5560" w:rsidRDefault="00D56956">
            <w:r>
              <w:rPr>
                <w:sz w:val="16"/>
              </w:rPr>
              <w:t>✓</w:t>
            </w:r>
          </w:p>
        </w:tc>
        <w:tc>
          <w:tcPr>
            <w:tcW w:w="2016" w:type="dxa"/>
            <w:vAlign w:val="center"/>
          </w:tcPr>
          <w:p w:rsidR="007C5560" w:rsidRDefault="00D56956">
            <w:r>
              <w:rPr>
                <w:sz w:val="16"/>
              </w:rPr>
              <w:t>✓</w:t>
            </w:r>
          </w:p>
        </w:tc>
        <w:tc>
          <w:tcPr>
            <w:tcW w:w="2016" w:type="dxa"/>
            <w:vAlign w:val="center"/>
          </w:tcPr>
          <w:p w:rsidR="007C5560" w:rsidRDefault="00D56956">
            <w:r>
              <w:rPr>
                <w:sz w:val="16"/>
              </w:rPr>
              <w:t>✓</w:t>
            </w:r>
          </w:p>
        </w:tc>
        <w:tc>
          <w:tcPr>
            <w:tcW w:w="2016" w:type="dxa"/>
            <w:vAlign w:val="center"/>
          </w:tcPr>
          <w:p w:rsidR="007C5560" w:rsidRDefault="00D56956">
            <w:r>
              <w:rPr>
                <w:sz w:val="16"/>
              </w:rPr>
              <w:t>Human-centered uncertainty communication</w:t>
            </w:r>
          </w:p>
        </w:tc>
      </w:tr>
      <w:tr w:rsidR="007C5560">
        <w:trPr>
          <w:jc w:val="center"/>
        </w:trPr>
        <w:tc>
          <w:tcPr>
            <w:tcW w:w="2016" w:type="dxa"/>
            <w:vAlign w:val="center"/>
          </w:tcPr>
          <w:p w:rsidR="007C5560" w:rsidRDefault="00D56956">
            <w:r>
              <w:rPr>
                <w:sz w:val="16"/>
              </w:rPr>
              <w:t>Inyang &amp; Taghikhah (2025)</w:t>
            </w:r>
          </w:p>
        </w:tc>
        <w:tc>
          <w:tcPr>
            <w:tcW w:w="2016" w:type="dxa"/>
            <w:vAlign w:val="center"/>
          </w:tcPr>
          <w:p w:rsidR="007C5560" w:rsidRDefault="00D56956">
            <w:r>
              <w:rPr>
                <w:sz w:val="16"/>
              </w:rPr>
              <w:t>✓</w:t>
            </w:r>
          </w:p>
        </w:tc>
        <w:tc>
          <w:tcPr>
            <w:tcW w:w="2016" w:type="dxa"/>
            <w:vAlign w:val="center"/>
          </w:tcPr>
          <w:p w:rsidR="007C5560" w:rsidRDefault="00D56956">
            <w:r>
              <w:rPr>
                <w:sz w:val="16"/>
              </w:rPr>
              <w:t>Not central</w:t>
            </w:r>
          </w:p>
        </w:tc>
        <w:tc>
          <w:tcPr>
            <w:tcW w:w="2016" w:type="dxa"/>
            <w:vAlign w:val="center"/>
          </w:tcPr>
          <w:p w:rsidR="007C5560" w:rsidRDefault="00D56956">
            <w:r>
              <w:rPr>
                <w:sz w:val="16"/>
              </w:rPr>
              <w:t>✓</w:t>
            </w:r>
          </w:p>
        </w:tc>
        <w:tc>
          <w:tcPr>
            <w:tcW w:w="2016" w:type="dxa"/>
            <w:vAlign w:val="center"/>
          </w:tcPr>
          <w:p w:rsidR="007C5560" w:rsidRDefault="00D56956">
            <w:r>
              <w:rPr>
                <w:sz w:val="16"/>
              </w:rPr>
              <w:t>Uncertainty-aware DT decision support</w:t>
            </w:r>
          </w:p>
        </w:tc>
      </w:tr>
      <w:tr w:rsidR="007C5560">
        <w:trPr>
          <w:jc w:val="center"/>
        </w:trPr>
        <w:tc>
          <w:tcPr>
            <w:tcW w:w="2016" w:type="dxa"/>
            <w:vAlign w:val="center"/>
          </w:tcPr>
          <w:p w:rsidR="007C5560" w:rsidRDefault="00D56956">
            <w:r>
              <w:rPr>
                <w:sz w:val="16"/>
              </w:rPr>
              <w:t>Typical flood segmentation studies</w:t>
            </w:r>
          </w:p>
        </w:tc>
        <w:tc>
          <w:tcPr>
            <w:tcW w:w="2016" w:type="dxa"/>
            <w:vAlign w:val="center"/>
          </w:tcPr>
          <w:p w:rsidR="007C5560" w:rsidRDefault="00D56956">
            <w:r>
              <w:rPr>
                <w:sz w:val="16"/>
              </w:rPr>
              <w:t>✓</w:t>
            </w:r>
          </w:p>
        </w:tc>
        <w:tc>
          <w:tcPr>
            <w:tcW w:w="2016" w:type="dxa"/>
            <w:vAlign w:val="center"/>
          </w:tcPr>
          <w:p w:rsidR="007C5560" w:rsidRDefault="00D56956">
            <w:r>
              <w:rPr>
                <w:sz w:val="16"/>
              </w:rPr>
              <w:t>Often limited</w:t>
            </w:r>
          </w:p>
        </w:tc>
        <w:tc>
          <w:tcPr>
            <w:tcW w:w="2016" w:type="dxa"/>
            <w:vAlign w:val="center"/>
          </w:tcPr>
          <w:p w:rsidR="007C5560" w:rsidRDefault="00D56956">
            <w:r>
              <w:rPr>
                <w:sz w:val="16"/>
              </w:rPr>
              <w:t>—</w:t>
            </w:r>
          </w:p>
        </w:tc>
        <w:tc>
          <w:tcPr>
            <w:tcW w:w="2016" w:type="dxa"/>
            <w:vAlign w:val="center"/>
          </w:tcPr>
          <w:p w:rsidR="007C5560" w:rsidRDefault="00D56956">
            <w:r>
              <w:rPr>
                <w:sz w:val="16"/>
              </w:rPr>
              <w:t xml:space="preserve">Move beyond </w:t>
            </w:r>
            <w:r>
              <w:rPr>
                <w:sz w:val="16"/>
              </w:rPr>
              <w:t>segmentation to decisions</w:t>
            </w:r>
          </w:p>
        </w:tc>
      </w:tr>
    </w:tbl>
    <w:p w:rsidR="007C5560" w:rsidRDefault="00D56956">
      <w:pPr>
        <w:spacing w:after="100" w:line="259" w:lineRule="auto"/>
      </w:pPr>
      <w:r>
        <w:t>Table 1: Comparison of existing research directions against the target ResQTwin contribution.</w:t>
      </w:r>
    </w:p>
    <w:p w:rsidR="007C5560" w:rsidRDefault="00D56956">
      <w:pPr>
        <w:spacing w:after="100" w:line="259" w:lineRule="auto"/>
      </w:pPr>
      <w:r>
        <w:t>Across these works, uncertainty-aware flood modelling, remote-sensing segmentation and digital-twin decision support are each establish</w:t>
      </w:r>
      <w:r>
        <w:t>ed research directions. The specific gap targeted by ResQTwin is their integration: uncertainty from heterogeneous inputs and AI models should be represented, communicated and propagated into spatial impact analysis and emergency decisions rather than bein</w:t>
      </w:r>
      <w:r>
        <w:t>g reported only at the prediction stage.</w:t>
      </w:r>
    </w:p>
    <w:p w:rsidR="007C5560" w:rsidRDefault="00D56956">
      <w:pPr>
        <w:pStyle w:val="Heading2"/>
        <w:spacing w:before="140" w:after="80"/>
      </w:pPr>
      <w:r>
        <w:t>2.6 Research Gap Addressed by ResQTwin</w:t>
      </w:r>
    </w:p>
    <w:p w:rsidR="007C5560" w:rsidRDefault="00D56956">
      <w:pPr>
        <w:pStyle w:val="ListBullet"/>
        <w:spacing w:after="40"/>
      </w:pPr>
      <w:r>
        <w:t>End-to-end uncertainty: carry uncertainty from environmental/AI inputs through flood prediction and segmentation into impact assessment and decision support.</w:t>
      </w:r>
    </w:p>
    <w:p w:rsidR="007C5560" w:rsidRDefault="00D56956">
      <w:pPr>
        <w:pStyle w:val="ListBullet"/>
        <w:spacing w:after="40"/>
      </w:pPr>
      <w:r>
        <w:t xml:space="preserve">Decision-aware </w:t>
      </w:r>
      <w:r>
        <w:t>uncertainty communication: translate model confidence and limitations into understandable information for emergency users.</w:t>
      </w:r>
    </w:p>
    <w:p w:rsidR="007C5560" w:rsidRDefault="00D56956">
      <w:pPr>
        <w:pStyle w:val="ListBullet"/>
        <w:spacing w:after="40"/>
      </w:pPr>
      <w:r>
        <w:t>Multi-source integration: combine rainfall, water levels, weather, Sentinel-1 SAR and geospatial context rather than relying on one p</w:t>
      </w:r>
      <w:r>
        <w:t>rediction source.</w:t>
      </w:r>
    </w:p>
    <w:p w:rsidR="007C5560" w:rsidRDefault="00D56956">
      <w:pPr>
        <w:pStyle w:val="ListBullet"/>
        <w:spacing w:after="40"/>
      </w:pPr>
      <w:r>
        <w:t>Chennai-focused validation: evaluate transfer/generalization to a defined urban case study instead of presenting only generic benchmark results.</w:t>
      </w:r>
    </w:p>
    <w:p w:rsidR="007C5560" w:rsidRDefault="00D56956">
      <w:pPr>
        <w:pStyle w:val="ListBullet"/>
        <w:spacing w:after="40"/>
      </w:pPr>
      <w:r>
        <w:t>Reproducible evaluation: report predictive and segmentation metrics together with uncertainty</w:t>
      </w:r>
      <w:r>
        <w:t>/calibration behaviour and failure cases.</w:t>
      </w:r>
    </w:p>
    <w:p w:rsidR="007C5560" w:rsidRDefault="00D56956">
      <w:r>
        <w:br w:type="page"/>
      </w:r>
    </w:p>
    <w:p w:rsidR="007C5560" w:rsidRDefault="00D56956">
      <w:pPr>
        <w:pStyle w:val="Heading1"/>
        <w:spacing w:before="140" w:after="80"/>
      </w:pPr>
      <w:r>
        <w:lastRenderedPageBreak/>
        <w:t>3. Proposed System</w:t>
      </w:r>
    </w:p>
    <w:p w:rsidR="007C5560" w:rsidRDefault="00D56956">
      <w:pPr>
        <w:spacing w:after="100" w:line="259" w:lineRule="auto"/>
      </w:pPr>
      <w:r>
        <w:t>ResQTwin is proposed as a software-based AI-driven digital twin for Chennai urban flood emergency response. The system will ingest heterogeneous environmental, satellite and geospatial informat</w:t>
      </w:r>
      <w:r>
        <w:t>ion, generate flood-risk and flood-extent predictions, estimate uncertainty, assess potential impacts, and present human-centered decision support.</w:t>
      </w:r>
    </w:p>
    <w:p w:rsidR="007C5560" w:rsidRDefault="00D56956">
      <w:pPr>
        <w:spacing w:after="100" w:line="259" w:lineRule="auto"/>
      </w:pPr>
      <w:r>
        <w:t>The system is organized as separate modules so that each team's work can be developed independently and inte</w:t>
      </w:r>
      <w:r>
        <w:t>grated through defined interfaces. The AI/Satellite module handles flood-risk modelling and Sentinel-1 segmentation; backend/data engineering manages data pipelines and APIs; the geospatial module manages roads, facilities and exposure; and the frontend pr</w:t>
      </w:r>
      <w:r>
        <w:t>esents the digital-twin state and recommendations.</w:t>
      </w:r>
    </w:p>
    <w:p w:rsidR="007C5560" w:rsidRDefault="00D56956">
      <w:pPr>
        <w:pStyle w:val="Heading2"/>
        <w:spacing w:before="140" w:after="80"/>
      </w:pPr>
      <w:r>
        <w:t>3.1 System Architecture</w:t>
      </w:r>
    </w:p>
    <w:p w:rsidR="007C5560" w:rsidRDefault="00D56956">
      <w:pPr>
        <w:jc w:val="center"/>
      </w:pPr>
      <w:r>
        <w:rPr>
          <w:noProof/>
          <w:lang w:val="en-IN" w:eastAsia="en-IN"/>
        </w:rPr>
        <w:drawing>
          <wp:inline distT="0" distB="0" distL="0" distR="0">
            <wp:extent cx="6217920" cy="36367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qtwin_architecture_review1.png"/>
                    <pic:cNvPicPr/>
                  </pic:nvPicPr>
                  <pic:blipFill>
                    <a:blip r:embed="rId8"/>
                    <a:stretch>
                      <a:fillRect/>
                    </a:stretch>
                  </pic:blipFill>
                  <pic:spPr>
                    <a:xfrm>
                      <a:off x="0" y="0"/>
                      <a:ext cx="6217920" cy="3636756"/>
                    </a:xfrm>
                    <a:prstGeom prst="rect">
                      <a:avLst/>
                    </a:prstGeom>
                  </pic:spPr>
                </pic:pic>
              </a:graphicData>
            </a:graphic>
          </wp:inline>
        </w:drawing>
      </w:r>
    </w:p>
    <w:p w:rsidR="007C5560" w:rsidRDefault="00D56956">
      <w:pPr>
        <w:spacing w:after="100" w:line="259" w:lineRule="auto"/>
      </w:pPr>
      <w:r>
        <w:t xml:space="preserve">Figure 1: End-to-end ResQTwin architecture. Multi-source observations feed AI flood prediction and Sentinel-1 segmentation. Uncertainty is estimated and propagated into </w:t>
      </w:r>
      <w:r>
        <w:t>flood-impact analysis and then communicated through human-centered decision support.</w:t>
      </w:r>
    </w:p>
    <w:p w:rsidR="007C5560" w:rsidRDefault="00D56956">
      <w:pPr>
        <w:pStyle w:val="Heading2"/>
        <w:spacing w:before="140" w:after="80"/>
      </w:pPr>
      <w:r>
        <w:t>3.2 Key Contributions</w:t>
      </w:r>
    </w:p>
    <w:p w:rsidR="007C5560" w:rsidRDefault="00D56956">
      <w:pPr>
        <w:pStyle w:val="ListBullet"/>
        <w:spacing w:after="40"/>
      </w:pPr>
      <w:r>
        <w:t>Uncertainty-aware flood intelligence: predictions are accompanied by confidence/uncertainty information rather than presented as deterministic facts.</w:t>
      </w:r>
    </w:p>
    <w:p w:rsidR="007C5560" w:rsidRDefault="00D56956">
      <w:pPr>
        <w:pStyle w:val="ListBullet"/>
        <w:spacing w:after="40"/>
      </w:pPr>
      <w:r>
        <w:t>Uncertainty propagation: investigate how uncertainty at upstream prediction stages should affect downstream impact assessment and recommendations.</w:t>
      </w:r>
    </w:p>
    <w:p w:rsidR="007C5560" w:rsidRDefault="00D56956">
      <w:pPr>
        <w:pStyle w:val="ListBullet"/>
        <w:spacing w:after="40"/>
      </w:pPr>
      <w:r>
        <w:t>Human-centered emergency support: present what is happening, why a recommendation is made, how confident the</w:t>
      </w:r>
      <w:r>
        <w:t xml:space="preserve"> system is, what alternatives exist and when human verification is required.</w:t>
      </w:r>
    </w:p>
    <w:p w:rsidR="007C5560" w:rsidRDefault="00D56956">
      <w:pPr>
        <w:pStyle w:val="ListBullet"/>
        <w:spacing w:after="40"/>
      </w:pPr>
      <w:r>
        <w:t>Satellite computer vision: use Sentinel-1 SAR data for flood segmentation and evaluate transfer from the Sen1Floods11 benchmark to Chennai imagery.</w:t>
      </w:r>
    </w:p>
    <w:p w:rsidR="007C5560" w:rsidRDefault="00D56956">
      <w:pPr>
        <w:pStyle w:val="ListBullet"/>
        <w:spacing w:after="40"/>
      </w:pPr>
      <w:r>
        <w:t>City-scale geospatial integrati</w:t>
      </w:r>
      <w:r>
        <w:t>on: connect flood extent with roads, population and critical facilities to make predictions operationally meaningful.</w:t>
      </w:r>
    </w:p>
    <w:p w:rsidR="007C5560" w:rsidRDefault="00D56956">
      <w:pPr>
        <w:pStyle w:val="ListBullet"/>
        <w:spacing w:after="40"/>
      </w:pPr>
      <w:r>
        <w:t>Research-grade evaluation: evaluate predictive performance, segmentation quality, uncertainty quality/calibration and failure cases rather</w:t>
      </w:r>
      <w:r>
        <w:t xml:space="preserve"> than relying on a single accuracy score.</w:t>
      </w:r>
    </w:p>
    <w:p w:rsidR="007C5560" w:rsidRDefault="00D56956" w:rsidP="00E97C5B">
      <w:r>
        <w:br w:type="page"/>
      </w:r>
      <w:bookmarkStart w:id="0" w:name="_GoBack"/>
      <w:r w:rsidRPr="00E97C5B">
        <w:rPr>
          <w:rFonts w:asciiTheme="majorHAnsi" w:eastAsiaTheme="majorEastAsia" w:hAnsiTheme="majorHAnsi" w:cstheme="majorBidi"/>
          <w:b/>
          <w:bCs/>
          <w:color w:val="4F81BD" w:themeColor="accent1"/>
          <w:sz w:val="26"/>
          <w:szCs w:val="26"/>
        </w:rPr>
        <w:lastRenderedPageBreak/>
        <w:t>3.3 Expected Outcome</w:t>
      </w:r>
      <w:bookmarkEnd w:id="0"/>
    </w:p>
    <w:p w:rsidR="007C5560" w:rsidRDefault="00D56956">
      <w:pPr>
        <w:spacing w:after="100" w:line="259" w:lineRule="auto"/>
      </w:pPr>
      <w:r>
        <w:t>F</w:t>
      </w:r>
      <w:r>
        <w:t>or a given Chennai scenario, the completed prototype is expected to provide a digital representation of flood risk and potential impact. Outputs should include flood-risk predictions, satell</w:t>
      </w:r>
      <w:r>
        <w:t>ite-derived flood extent where imagery is available, uncertainty/confidence information, affected-road and exposure information, and an understandable emergency recommendation.</w:t>
      </w:r>
    </w:p>
    <w:p w:rsidR="007C5560" w:rsidRDefault="00D56956">
      <w:pPr>
        <w:spacing w:after="100" w:line="259" w:lineRule="auto"/>
      </w:pPr>
      <w:r>
        <w:t xml:space="preserve">A representative final output is expected to communicate predicted flood risk, </w:t>
      </w:r>
      <w:r>
        <w:t>confidence level, major contributing factors, affected or potentially affected areas, safer alternatives where supported by the geospatial module, and limitations such as missing observations or unavailable satellite coverage. The system is intended as dec</w:t>
      </w:r>
      <w:r>
        <w:t>ision support and will not replace official emergency authorities or warnings.</w:t>
      </w:r>
    </w:p>
    <w:p w:rsidR="007C5560" w:rsidRDefault="00D56956">
      <w:pPr>
        <w:pStyle w:val="Heading2"/>
        <w:spacing w:before="140" w:after="80"/>
      </w:pPr>
      <w:r>
        <w:t>3.4 Review 1 Progress and Work Completed</w:t>
      </w:r>
    </w:p>
    <w:tbl>
      <w:tblPr>
        <w:tblStyle w:val="TableGrid"/>
        <w:tblW w:w="0" w:type="auto"/>
        <w:jc w:val="center"/>
        <w:tblLook w:val="04A0" w:firstRow="1" w:lastRow="0" w:firstColumn="1" w:lastColumn="0" w:noHBand="0" w:noVBand="1"/>
      </w:tblPr>
      <w:tblGrid>
        <w:gridCol w:w="3360"/>
        <w:gridCol w:w="3360"/>
        <w:gridCol w:w="3360"/>
      </w:tblGrid>
      <w:tr w:rsidR="007C5560">
        <w:trPr>
          <w:jc w:val="center"/>
        </w:trPr>
        <w:tc>
          <w:tcPr>
            <w:tcW w:w="3360" w:type="dxa"/>
            <w:shd w:val="clear" w:color="auto" w:fill="EDEDED"/>
            <w:vAlign w:val="center"/>
          </w:tcPr>
          <w:p w:rsidR="007C5560" w:rsidRDefault="00D56956">
            <w:r>
              <w:rPr>
                <w:b/>
                <w:sz w:val="17"/>
              </w:rPr>
              <w:t>Area</w:t>
            </w:r>
          </w:p>
        </w:tc>
        <w:tc>
          <w:tcPr>
            <w:tcW w:w="3360" w:type="dxa"/>
            <w:shd w:val="clear" w:color="auto" w:fill="EDEDED"/>
            <w:vAlign w:val="center"/>
          </w:tcPr>
          <w:p w:rsidR="007C5560" w:rsidRDefault="00D56956">
            <w:r>
              <w:rPr>
                <w:b/>
                <w:sz w:val="17"/>
              </w:rPr>
              <w:t>Work Completed</w:t>
            </w:r>
          </w:p>
        </w:tc>
        <w:tc>
          <w:tcPr>
            <w:tcW w:w="3360" w:type="dxa"/>
            <w:shd w:val="clear" w:color="auto" w:fill="EDEDED"/>
            <w:vAlign w:val="center"/>
          </w:tcPr>
          <w:p w:rsidR="007C5560" w:rsidRDefault="00D56956">
            <w:r>
              <w:rPr>
                <w:b/>
                <w:sz w:val="17"/>
              </w:rPr>
              <w:t>Status</w:t>
            </w:r>
          </w:p>
        </w:tc>
      </w:tr>
      <w:tr w:rsidR="007C5560">
        <w:trPr>
          <w:jc w:val="center"/>
        </w:trPr>
        <w:tc>
          <w:tcPr>
            <w:tcW w:w="3360" w:type="dxa"/>
            <w:vAlign w:val="center"/>
          </w:tcPr>
          <w:p w:rsidR="007C5560" w:rsidRDefault="00D56956">
            <w:r>
              <w:rPr>
                <w:sz w:val="15"/>
              </w:rPr>
              <w:t>Project foundation</w:t>
            </w:r>
          </w:p>
        </w:tc>
        <w:tc>
          <w:tcPr>
            <w:tcW w:w="3360" w:type="dxa"/>
            <w:vAlign w:val="center"/>
          </w:tcPr>
          <w:p w:rsidR="007C5560" w:rsidRDefault="00D56956">
            <w:r>
              <w:rPr>
                <w:sz w:val="15"/>
              </w:rPr>
              <w:t>Scope fixed to Chennai urban flooding; roles and module boundaries established.</w:t>
            </w:r>
          </w:p>
        </w:tc>
        <w:tc>
          <w:tcPr>
            <w:tcW w:w="3360" w:type="dxa"/>
            <w:vAlign w:val="center"/>
          </w:tcPr>
          <w:p w:rsidR="007C5560" w:rsidRDefault="00D56956">
            <w:r>
              <w:rPr>
                <w:sz w:val="15"/>
              </w:rPr>
              <w:t>Completed</w:t>
            </w:r>
          </w:p>
        </w:tc>
      </w:tr>
      <w:tr w:rsidR="007C5560">
        <w:trPr>
          <w:jc w:val="center"/>
        </w:trPr>
        <w:tc>
          <w:tcPr>
            <w:tcW w:w="3360" w:type="dxa"/>
            <w:vAlign w:val="center"/>
          </w:tcPr>
          <w:p w:rsidR="007C5560" w:rsidRDefault="00D56956">
            <w:r>
              <w:rPr>
                <w:sz w:val="15"/>
              </w:rPr>
              <w:t>Git/GitHub</w:t>
            </w:r>
          </w:p>
        </w:tc>
        <w:tc>
          <w:tcPr>
            <w:tcW w:w="3360" w:type="dxa"/>
            <w:vAlign w:val="center"/>
          </w:tcPr>
          <w:p w:rsidR="007C5560" w:rsidRDefault="00D56956">
            <w:r>
              <w:rPr>
                <w:sz w:val="15"/>
              </w:rPr>
              <w:t>Repository initialized; main branch created; individual feature-branch workflow established; feature/intekhab-ai pushed.</w:t>
            </w:r>
          </w:p>
        </w:tc>
        <w:tc>
          <w:tcPr>
            <w:tcW w:w="3360" w:type="dxa"/>
            <w:vAlign w:val="center"/>
          </w:tcPr>
          <w:p w:rsidR="007C5560" w:rsidRDefault="00D56956">
            <w:r>
              <w:rPr>
                <w:sz w:val="15"/>
              </w:rPr>
              <w:t>Completed</w:t>
            </w:r>
          </w:p>
        </w:tc>
      </w:tr>
      <w:tr w:rsidR="007C5560">
        <w:trPr>
          <w:jc w:val="center"/>
        </w:trPr>
        <w:tc>
          <w:tcPr>
            <w:tcW w:w="3360" w:type="dxa"/>
            <w:vAlign w:val="center"/>
          </w:tcPr>
          <w:p w:rsidR="007C5560" w:rsidRDefault="00D56956">
            <w:r>
              <w:rPr>
                <w:sz w:val="15"/>
              </w:rPr>
              <w:t>Repository structure</w:t>
            </w:r>
          </w:p>
        </w:tc>
        <w:tc>
          <w:tcPr>
            <w:tcW w:w="3360" w:type="dxa"/>
            <w:vAlign w:val="center"/>
          </w:tcPr>
          <w:p w:rsidR="007C5560" w:rsidRDefault="00D56956">
            <w:r>
              <w:rPr>
                <w:sz w:val="15"/>
              </w:rPr>
              <w:t>AI, backend, geospatial, frontend, data, scripts, tests and documentation structure create</w:t>
            </w:r>
            <w:r>
              <w:rPr>
                <w:sz w:val="15"/>
              </w:rPr>
              <w:t>d.</w:t>
            </w:r>
          </w:p>
        </w:tc>
        <w:tc>
          <w:tcPr>
            <w:tcW w:w="3360" w:type="dxa"/>
            <w:vAlign w:val="center"/>
          </w:tcPr>
          <w:p w:rsidR="007C5560" w:rsidRDefault="00D56956">
            <w:r>
              <w:rPr>
                <w:sz w:val="15"/>
              </w:rPr>
              <w:t>Completed</w:t>
            </w:r>
          </w:p>
        </w:tc>
      </w:tr>
      <w:tr w:rsidR="007C5560">
        <w:trPr>
          <w:jc w:val="center"/>
        </w:trPr>
        <w:tc>
          <w:tcPr>
            <w:tcW w:w="3360" w:type="dxa"/>
            <w:vAlign w:val="center"/>
          </w:tcPr>
          <w:p w:rsidR="007C5560" w:rsidRDefault="00D56956">
            <w:r>
              <w:rPr>
                <w:sz w:val="15"/>
              </w:rPr>
              <w:t>Research direction</w:t>
            </w:r>
          </w:p>
        </w:tc>
        <w:tc>
          <w:tcPr>
            <w:tcW w:w="3360" w:type="dxa"/>
            <w:vAlign w:val="center"/>
          </w:tcPr>
          <w:p w:rsidR="007C5560" w:rsidRDefault="00D56956">
            <w:r>
              <w:rPr>
                <w:sz w:val="15"/>
              </w:rPr>
              <w:t>Primary focus fixed as end-to-end uncertainty-aware flood-to-decision; secondary focus as human-centered uncertainty communication.</w:t>
            </w:r>
          </w:p>
        </w:tc>
        <w:tc>
          <w:tcPr>
            <w:tcW w:w="3360" w:type="dxa"/>
            <w:vAlign w:val="center"/>
          </w:tcPr>
          <w:p w:rsidR="007C5560" w:rsidRDefault="00D56956">
            <w:r>
              <w:rPr>
                <w:sz w:val="15"/>
              </w:rPr>
              <w:t>Completed</w:t>
            </w:r>
          </w:p>
        </w:tc>
      </w:tr>
      <w:tr w:rsidR="007C5560">
        <w:trPr>
          <w:jc w:val="center"/>
        </w:trPr>
        <w:tc>
          <w:tcPr>
            <w:tcW w:w="3360" w:type="dxa"/>
            <w:vAlign w:val="center"/>
          </w:tcPr>
          <w:p w:rsidR="007C5560" w:rsidRDefault="00D56956">
            <w:r>
              <w:rPr>
                <w:sz w:val="15"/>
              </w:rPr>
              <w:t>Satellite dataset</w:t>
            </w:r>
          </w:p>
        </w:tc>
        <w:tc>
          <w:tcPr>
            <w:tcW w:w="3360" w:type="dxa"/>
            <w:vAlign w:val="center"/>
          </w:tcPr>
          <w:p w:rsidR="007C5560" w:rsidRDefault="00D56956">
            <w:r>
              <w:rPr>
                <w:sz w:val="15"/>
              </w:rPr>
              <w:t xml:space="preserve">Sen1Floods11 v1.1 subset downloaded locally: 446 VV/VH chips </w:t>
            </w:r>
            <w:r>
              <w:rPr>
                <w:sz w:val="15"/>
              </w:rPr>
              <w:t>and 446 matching masks.</w:t>
            </w:r>
          </w:p>
        </w:tc>
        <w:tc>
          <w:tcPr>
            <w:tcW w:w="3360" w:type="dxa"/>
            <w:vAlign w:val="center"/>
          </w:tcPr>
          <w:p w:rsidR="007C5560" w:rsidRDefault="00D56956">
            <w:r>
              <w:rPr>
                <w:sz w:val="15"/>
              </w:rPr>
              <w:t>Completed</w:t>
            </w:r>
          </w:p>
        </w:tc>
      </w:tr>
      <w:tr w:rsidR="007C5560">
        <w:trPr>
          <w:jc w:val="center"/>
        </w:trPr>
        <w:tc>
          <w:tcPr>
            <w:tcW w:w="3360" w:type="dxa"/>
            <w:vAlign w:val="center"/>
          </w:tcPr>
          <w:p w:rsidR="007C5560" w:rsidRDefault="00D56956">
            <w:r>
              <w:rPr>
                <w:sz w:val="15"/>
              </w:rPr>
              <w:t>Dataset verification</w:t>
            </w:r>
          </w:p>
        </w:tc>
        <w:tc>
          <w:tcPr>
            <w:tcW w:w="3360" w:type="dxa"/>
            <w:vAlign w:val="center"/>
          </w:tcPr>
          <w:p w:rsidR="007C5560" w:rsidRDefault="00D56956">
            <w:r>
              <w:rPr>
                <w:sz w:val="15"/>
              </w:rPr>
              <w:t>252 train, 89 validation, 90 test and 15 Bolivia holdout samples verified; labels and image-mask pairing checked.</w:t>
            </w:r>
          </w:p>
        </w:tc>
        <w:tc>
          <w:tcPr>
            <w:tcW w:w="3360" w:type="dxa"/>
            <w:vAlign w:val="center"/>
          </w:tcPr>
          <w:p w:rsidR="007C5560" w:rsidRDefault="00D56956">
            <w:r>
              <w:rPr>
                <w:sz w:val="15"/>
              </w:rPr>
              <w:t>Completed</w:t>
            </w:r>
          </w:p>
        </w:tc>
      </w:tr>
      <w:tr w:rsidR="007C5560">
        <w:trPr>
          <w:jc w:val="center"/>
        </w:trPr>
        <w:tc>
          <w:tcPr>
            <w:tcW w:w="3360" w:type="dxa"/>
            <w:vAlign w:val="center"/>
          </w:tcPr>
          <w:p w:rsidR="007C5560" w:rsidRDefault="00D56956">
            <w:r>
              <w:rPr>
                <w:sz w:val="15"/>
              </w:rPr>
              <w:t>Initial inspection</w:t>
            </w:r>
          </w:p>
        </w:tc>
        <w:tc>
          <w:tcPr>
            <w:tcW w:w="3360" w:type="dxa"/>
            <w:vAlign w:val="center"/>
          </w:tcPr>
          <w:p w:rsidR="007C5560" w:rsidRDefault="00D56956">
            <w:r>
              <w:rPr>
                <w:sz w:val="15"/>
              </w:rPr>
              <w:t>Rasterio-based read-only inspection script created and c</w:t>
            </w:r>
            <w:r>
              <w:rPr>
                <w:sz w:val="15"/>
              </w:rPr>
              <w:t>ommitted as 'Add Sen1Floods11 dataset inspection'.</w:t>
            </w:r>
          </w:p>
        </w:tc>
        <w:tc>
          <w:tcPr>
            <w:tcW w:w="3360" w:type="dxa"/>
            <w:vAlign w:val="center"/>
          </w:tcPr>
          <w:p w:rsidR="007C5560" w:rsidRDefault="00D56956">
            <w:r>
              <w:rPr>
                <w:sz w:val="15"/>
              </w:rPr>
              <w:t>Completed</w:t>
            </w:r>
          </w:p>
        </w:tc>
      </w:tr>
      <w:tr w:rsidR="007C5560">
        <w:trPr>
          <w:jc w:val="center"/>
        </w:trPr>
        <w:tc>
          <w:tcPr>
            <w:tcW w:w="3360" w:type="dxa"/>
            <w:vAlign w:val="center"/>
          </w:tcPr>
          <w:p w:rsidR="007C5560" w:rsidRDefault="00D56956">
            <w:r>
              <w:rPr>
                <w:sz w:val="15"/>
              </w:rPr>
              <w:t>Model training</w:t>
            </w:r>
          </w:p>
        </w:tc>
        <w:tc>
          <w:tcPr>
            <w:tcW w:w="3360" w:type="dxa"/>
            <w:vAlign w:val="center"/>
          </w:tcPr>
          <w:p w:rsidR="007C5560" w:rsidRDefault="00D56956">
            <w:r>
              <w:rPr>
                <w:sz w:val="15"/>
              </w:rPr>
              <w:t>Not started; baseline and uncertainty methods will be selected after preprocessing verification.</w:t>
            </w:r>
          </w:p>
        </w:tc>
        <w:tc>
          <w:tcPr>
            <w:tcW w:w="3360" w:type="dxa"/>
            <w:vAlign w:val="center"/>
          </w:tcPr>
          <w:p w:rsidR="007C5560" w:rsidRDefault="00D56956">
            <w:r>
              <w:rPr>
                <w:sz w:val="15"/>
              </w:rPr>
              <w:t>Planned</w:t>
            </w:r>
          </w:p>
        </w:tc>
      </w:tr>
    </w:tbl>
    <w:p w:rsidR="007C5560" w:rsidRDefault="00D56956">
      <w:pPr>
        <w:spacing w:after="100" w:line="259" w:lineRule="auto"/>
      </w:pPr>
      <w:r>
        <w:t>Table 2: Review 1 progress summary.</w:t>
      </w:r>
    </w:p>
    <w:p w:rsidR="007C5560" w:rsidRDefault="00D56956">
      <w:pPr>
        <w:pStyle w:val="Heading2"/>
        <w:spacing w:before="140" w:after="80"/>
      </w:pPr>
      <w:r>
        <w:t>3.5 Immediate Next Steps</w:t>
      </w:r>
    </w:p>
    <w:p w:rsidR="007C5560" w:rsidRDefault="00D56956">
      <w:pPr>
        <w:pStyle w:val="ListBullet"/>
        <w:spacing w:after="40"/>
      </w:pPr>
      <w:r>
        <w:t>Verify Senti</w:t>
      </w:r>
      <w:r>
        <w:t>nel-1 VV/VH value distributions, NaN/no-data behaviour and valid-pixel ranges.</w:t>
      </w:r>
    </w:p>
    <w:p w:rsidR="007C5560" w:rsidRDefault="00D56956">
      <w:pPr>
        <w:pStyle w:val="ListBullet"/>
        <w:spacing w:after="40"/>
      </w:pPr>
      <w:r>
        <w:t>Finalize normalization and masking rules without leaking information from validation/test data into training.</w:t>
      </w:r>
    </w:p>
    <w:p w:rsidR="007C5560" w:rsidRDefault="00D56956">
      <w:pPr>
        <w:pStyle w:val="ListBullet"/>
        <w:spacing w:after="40"/>
      </w:pPr>
      <w:r>
        <w:t xml:space="preserve">Create a reusable PyTorch dataset/data-loader pipeline for </w:t>
      </w:r>
      <w:r>
        <w:t>Sen1Floods11.</w:t>
      </w:r>
    </w:p>
    <w:p w:rsidR="007C5560" w:rsidRDefault="00D56956">
      <w:pPr>
        <w:pStyle w:val="ListBullet"/>
        <w:spacing w:after="40"/>
      </w:pPr>
      <w:r>
        <w:t>Train a simple deterministic segmentation baseline such as U-Net and establish IoU, Dice/F1, precision and recall.</w:t>
      </w:r>
    </w:p>
    <w:p w:rsidR="007C5560" w:rsidRDefault="00D56956">
      <w:pPr>
        <w:pStyle w:val="ListBullet"/>
        <w:spacing w:after="40"/>
      </w:pPr>
      <w:r>
        <w:t>Select and implement a justified uncertainty-estimation method after baseline behaviour is understood.</w:t>
      </w:r>
    </w:p>
    <w:p w:rsidR="007C5560" w:rsidRDefault="00D56956">
      <w:pPr>
        <w:pStyle w:val="ListBullet"/>
        <w:spacing w:after="40"/>
      </w:pPr>
      <w:r>
        <w:t>Acquire and preprocess C</w:t>
      </w:r>
      <w:r>
        <w:t>hennai Sentinel-1 scenes for transfer/generalization evaluation.</w:t>
      </w:r>
    </w:p>
    <w:p w:rsidR="007C5560" w:rsidRDefault="00D56956">
      <w:pPr>
        <w:pStyle w:val="ListBullet"/>
        <w:spacing w:after="40"/>
      </w:pPr>
      <w:r>
        <w:t>Begin integration with the team's backend and geospatial modules.</w:t>
      </w:r>
    </w:p>
    <w:p w:rsidR="007C5560" w:rsidRDefault="00D56956">
      <w:r>
        <w:br w:type="page"/>
      </w:r>
    </w:p>
    <w:p w:rsidR="007C5560" w:rsidRDefault="00D56956">
      <w:pPr>
        <w:pStyle w:val="Heading1"/>
        <w:spacing w:before="140" w:after="80"/>
      </w:pPr>
      <w:r>
        <w:lastRenderedPageBreak/>
        <w:t>4. Key References</w:t>
      </w:r>
    </w:p>
    <w:p w:rsidR="007C5560" w:rsidRDefault="00D56956">
      <w:pPr>
        <w:spacing w:after="120"/>
        <w:ind w:left="288" w:hanging="288"/>
      </w:pPr>
      <w:r>
        <w:rPr>
          <w:sz w:val="19"/>
        </w:rPr>
        <w:t>Idowu, J. A., &amp; Alfahid, A. (2026). Open problems in uncertainty quantification for flood modelling: A sy</w:t>
      </w:r>
      <w:r>
        <w:rPr>
          <w:sz w:val="19"/>
        </w:rPr>
        <w:t>stematic review. Environmental Modelling &amp; Software, 196, 106799. https://doi.org/10.1016/j.envsoft.2025.106799</w:t>
      </w:r>
    </w:p>
    <w:p w:rsidR="007C5560" w:rsidRDefault="00D56956">
      <w:pPr>
        <w:spacing w:after="120"/>
        <w:ind w:left="288" w:hanging="288"/>
      </w:pPr>
      <w:r>
        <w:rPr>
          <w:sz w:val="19"/>
        </w:rPr>
        <w:t>Tran, V. N., Huan, X., Antar, A. D., et al. (2026). Reimagining How Flood Warnings Can Inform Decision-Making and Community Actions. Earth's Fut</w:t>
      </w:r>
      <w:r>
        <w:rPr>
          <w:sz w:val="19"/>
        </w:rPr>
        <w:t>ure, 14(6), e2026EF008857. https://doi.org/10.1029/2026EF008857</w:t>
      </w:r>
    </w:p>
    <w:p w:rsidR="007C5560" w:rsidRDefault="00D56956">
      <w:pPr>
        <w:spacing w:after="120"/>
        <w:ind w:left="288" w:hanging="288"/>
      </w:pPr>
      <w:r>
        <w:rPr>
          <w:sz w:val="19"/>
        </w:rPr>
        <w:t xml:space="preserve">Manyaka, N., Shoko, C., Gxokwe, S., &amp; Dube, T. (2026). Integrating remote sensing and machine learning for flood modelling: A systematic literature review. Physics and Chemistry of the Earth, </w:t>
      </w:r>
      <w:r>
        <w:rPr>
          <w:sz w:val="19"/>
        </w:rPr>
        <w:t>Parts A/B/C, 143, 104315. https://doi.org/10.1016/j.pce.2026.104315</w:t>
      </w:r>
    </w:p>
    <w:p w:rsidR="007C5560" w:rsidRDefault="00D56956">
      <w:pPr>
        <w:spacing w:after="120"/>
        <w:ind w:left="288" w:hanging="288"/>
      </w:pPr>
      <w:r>
        <w:rPr>
          <w:sz w:val="19"/>
        </w:rPr>
        <w:t>Inyang, S., &amp; Taghikhah, F. R. (2025). Digital twin-based decision support systems for natural disaster management: A systematic review of current trends and approaches. Science Talks, 13,</w:t>
      </w:r>
      <w:r>
        <w:rPr>
          <w:sz w:val="19"/>
        </w:rPr>
        <w:t xml:space="preserve"> 100406. https://doi.org/10.1016/j.sctalk.2024.100406</w:t>
      </w:r>
    </w:p>
    <w:p w:rsidR="007C5560" w:rsidRDefault="00D56956">
      <w:pPr>
        <w:spacing w:after="120"/>
        <w:ind w:left="288" w:hanging="288"/>
      </w:pPr>
      <w:r>
        <w:rPr>
          <w:sz w:val="19"/>
        </w:rPr>
        <w:t>Cloud to Street. Sen1Floods11: Global flood detection from Sentinel-1 SAR imagery. Dataset and repository documentation. https://github.com/cloudtostreet/Sen1Floods11</w:t>
      </w:r>
    </w:p>
    <w:p w:rsidR="007C5560" w:rsidRDefault="00D56956">
      <w:pPr>
        <w:spacing w:after="120"/>
        <w:ind w:left="288" w:hanging="288"/>
      </w:pPr>
      <w:r>
        <w:rPr>
          <w:sz w:val="19"/>
        </w:rPr>
        <w:t>Copernicus. Sentinel Earth observat</w:t>
      </w:r>
      <w:r>
        <w:rPr>
          <w:sz w:val="19"/>
        </w:rPr>
        <w:t>ion data and Sentinel-1 mission documentation. https://www.copernicus.eu/</w:t>
      </w:r>
    </w:p>
    <w:p w:rsidR="007C5560" w:rsidRDefault="00D56956">
      <w:pPr>
        <w:pStyle w:val="Heading2"/>
        <w:spacing w:before="140" w:after="80"/>
      </w:pPr>
      <w:r>
        <w:t>Review 1 Summary</w:t>
      </w:r>
    </w:p>
    <w:p w:rsidR="007C5560" w:rsidRDefault="00D56956">
      <w:pPr>
        <w:spacing w:after="100" w:line="259" w:lineRule="auto"/>
      </w:pPr>
      <w:r>
        <w:t>At Review 1, ResQTwin has completed its problem definition, Chennai case-study selection, research-gap framing, team work allocation, repository setup, primary satel</w:t>
      </w:r>
      <w:r>
        <w:t>lite dataset acquisition and initial dataset verification. The project has deliberately not started model training yet. The next phase will establish a reproducible preprocessing and baseline-modelling pipeline, after which uncertainty estimation and Chenn</w:t>
      </w:r>
      <w:r>
        <w:t>ai transfer experiments will be introduced.</w:t>
      </w:r>
    </w:p>
    <w:p w:rsidR="007C5560" w:rsidRDefault="00D56956">
      <w:pPr>
        <w:spacing w:after="100" w:line="259" w:lineRule="auto"/>
      </w:pPr>
      <w:r>
        <w:t>The project is positioned as an applied AI/ML research prototype whose main contribution is the integration of uncertainty-aware flood intelligence with human-centered emergency decision support. Recent literatur</w:t>
      </w:r>
      <w:r>
        <w:t>e supports the need for end-to-end probabilistic flood workflows and decision-oriented uncertainty communication.</w:t>
      </w:r>
    </w:p>
    <w:sectPr w:rsidR="007C5560" w:rsidSect="00034616">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56956" w:rsidRDefault="00D56956">
      <w:pPr>
        <w:spacing w:after="0" w:line="240" w:lineRule="auto"/>
      </w:pPr>
      <w:r>
        <w:separator/>
      </w:r>
    </w:p>
  </w:endnote>
  <w:endnote w:type="continuationSeparator" w:id="0">
    <w:p w:rsidR="00D56956" w:rsidRDefault="00D569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C5560" w:rsidRDefault="00D56956">
    <w:pPr>
      <w:pStyle w:val="Footer"/>
      <w:jc w:val="center"/>
    </w:pPr>
    <w: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56956" w:rsidRDefault="00D56956">
      <w:pPr>
        <w:spacing w:after="0" w:line="240" w:lineRule="auto"/>
      </w:pPr>
      <w:r>
        <w:separator/>
      </w:r>
    </w:p>
  </w:footnote>
  <w:footnote w:type="continuationSeparator" w:id="0">
    <w:p w:rsidR="00D56956" w:rsidRDefault="00D5695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21C0A"/>
    <w:rsid w:val="007C5560"/>
    <w:rsid w:val="00AA11D8"/>
    <w:rsid w:val="00AA1D8D"/>
    <w:rsid w:val="00B47730"/>
    <w:rsid w:val="00CB0664"/>
    <w:rsid w:val="00D56956"/>
    <w:rsid w:val="00E97C5B"/>
    <w:rsid w:val="00F261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60CB098-608F-4152-A891-77D52394F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B62FF0-7894-4C3D-8A26-D4144FBC6B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2111</Words>
  <Characters>12038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14121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5</cp:revision>
  <dcterms:created xsi:type="dcterms:W3CDTF">2013-12-23T23:15:00Z</dcterms:created>
  <dcterms:modified xsi:type="dcterms:W3CDTF">2026-08-21T08:28:00Z</dcterms:modified>
  <cp:category/>
</cp:coreProperties>
</file>