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Executive Summary: US Retail Sales Analysis (2010–2022)</w:t>
      </w:r>
    </w:p>
    <w:p>
      <w:pPr>
        <w:spacing w:after="300"/>
      </w:pPr>
      <w:r>
        <w:rPr>
          <w:i/>
          <w:iCs/>
          <w:color w:val="555555"/>
        </w:rPr>
        <w:t xml:space="preserve">Dataset: 9,048 monthly records across 58 business categories and 12 industries, U.S. Census retail sales data, Jan 2010–Dec 2022.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Key Findings</w:t>
      </w:r>
    </w:p>
    <w:p>
      <w:pPr>
        <w:pStyle w:val="Heading2"/>
        <w:spacing w:after="120" w:before="250"/>
      </w:pPr>
      <w:r>
        <w:t xml:space="preserve">1. Automotive is the dominant revenue driver</w:t>
      </w:r>
    </w:p>
    <w:p>
      <w:pPr>
        <w:spacing w:after="160"/>
      </w:pPr>
      <w:r>
        <w:t xml:space="preserve">Automotive leads all industries with a median sales value of $67,514 — nearly 1.5x the next closest industry (Food &amp; Beverage, $47,532). Within the top 10 individual business categories by total revenue, four of the top four slots are automotive-related (Motor vehicle and parts dealers, Automobile dealers, New car dealers), together accounting for roughly 26% of total revenue across the entire dataset.</w:t>
      </w:r>
    </w:p>
    <w:p>
      <w:pPr>
        <w:spacing w:after="80" w:before="100"/>
        <w:jc w:val="center"/>
      </w:pPr>
      <w:r>
        <w:drawing>
          <wp:inline distT="0" distB="0" distL="0" distR="0">
            <wp:extent cx="5524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1. Median sales by industry — Automotive and Food &amp; Beverage lead by a wide margin.</w:t>
      </w:r>
    </w:p>
    <w:p>
      <w:pPr>
        <w:spacing w:after="80" w:before="100"/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2. Top 10 kinds of business by total revenue generated, 2010–2022.</w:t>
      </w:r>
    </w:p>
    <w:p>
      <w:pPr>
        <w:pStyle w:val="Heading2"/>
        <w:spacing w:after="120" w:before="250"/>
      </w:pPr>
      <w:r>
        <w:t xml:space="preserve">2. Food &amp; Beverage is the most recession-resistant category</w:t>
      </w:r>
    </w:p>
    <w:p>
      <w:pPr>
        <w:spacing w:after="160"/>
      </w:pPr>
      <w:r>
        <w:t xml:space="preserve">This industry shows a consistent, near-linear upward trend across all 12 years with virtually no decline during the 2020 COVID shock — rising from roughly $2.0M to over $3.2M in annual sales. It behaves like a defensive, non-discretionary spending category.</w:t>
      </w:r>
    </w:p>
    <w:p>
      <w:pPr>
        <w:pStyle w:val="Heading2"/>
        <w:spacing w:after="120" w:before="250"/>
      </w:pPr>
      <w:r>
        <w:t xml:space="preserve">3. Restaurants &amp; Bars were hit hardest by COVID, but recovered</w:t>
      </w:r>
    </w:p>
    <w:p>
      <w:pPr>
        <w:spacing w:after="160"/>
      </w:pPr>
      <w:r>
        <w:t xml:space="preserve">Sales fell sharply in 2020 (to ~$1.8M, down from ~$2.2M pre-pandemic), consistent with lockdown restrictions. By 2022, the industry had recovered to ~$2.5M — exceeding pre-pandemic levels, though with far more year-to-year volatility than Food &amp; Beverage or Automotive.</w:t>
      </w:r>
    </w:p>
    <w:p>
      <w:pPr>
        <w:pStyle w:val="Heading2"/>
        <w:spacing w:after="120" w:before="250"/>
      </w:pPr>
      <w:r>
        <w:t xml:space="preserve">4. Automotive dipped briefly, then accelerated post-2020</w:t>
      </w:r>
    </w:p>
    <w:p>
      <w:pPr>
        <w:spacing w:after="160"/>
      </w:pPr>
      <w:r>
        <w:t xml:space="preserve">Despite a modest early-2020 dip, Automotive rebounded sharply, reaching over $5.6M in total sales by 2022 — its strongest multi-year growth phase in the dataset.</w:t>
      </w:r>
    </w:p>
    <w:p>
      <w:pPr>
        <w:spacing w:after="80" w:before="100"/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3. Total sales trend (2010–2022) for the top 5 industries, showing the 2020 dip and post-pandemic acceleration.</w:t>
      </w:r>
    </w:p>
    <w:p>
      <w:pPr>
        <w:pStyle w:val="Heading2"/>
        <w:spacing w:after="120" w:before="250"/>
      </w:pPr>
      <w:r>
        <w:t xml:space="preserve">5. Clear seasonal patterns in General Merchandise &amp; Home Goods/Electronics</w:t>
      </w:r>
    </w:p>
    <w:p>
      <w:pPr>
        <w:spacing w:after="160"/>
      </w:pPr>
      <w:r>
        <w:t xml:space="preserve">Both categories consistently peak in Q4 in both 2020 and 2022 — a straightforward holiday-shopping effect that held steady even through the pandemic.</w:t>
      </w:r>
    </w:p>
    <w:p>
      <w:pPr>
        <w:pStyle w:val="Heading2"/>
        <w:spacing w:after="120" w:before="250"/>
      </w:pPr>
      <w:r>
        <w:t xml:space="preserve">6. Quarterly peak timing shifted from 2020 to 2022</w:t>
      </w:r>
    </w:p>
    <w:p>
      <w:pPr>
        <w:spacing w:after="160"/>
      </w:pPr>
      <w:r>
        <w:t xml:space="preserve">This signals a return to "normal" seasonal rhythms: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00"/>
      </w:tblGrid>
      <w:tr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Industry</w:t>
            </w:r>
          </w:p>
        </w:tc>
        <w:tc>
          <w:tcPr>
            <w:tcW w:type="dxa" w:w="29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2020 Peak</w:t>
            </w:r>
          </w:p>
        </w:tc>
        <w:tc>
          <w:tcPr>
            <w:tcW w:type="dxa" w:w="29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2022 Peak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t xml:space="preserve">Automotive</w:t>
            </w:r>
          </w:p>
        </w:tc>
        <w:tc>
          <w:tcPr>
            <w:tcW w:type="dxa" w:w="2900"/>
            <w:shd w:fill="F2F2F2" w:color="auto" w:val="clear"/>
          </w:tcPr>
          <w:p>
            <w:r>
              <w:t xml:space="preserve">Q3</w:t>
            </w:r>
          </w:p>
        </w:tc>
        <w:tc>
          <w:tcPr>
            <w:tcW w:type="dxa" w:w="2900"/>
            <w:shd w:fill="F2F2F2" w:color="auto" w:val="clear"/>
          </w:tcPr>
          <w:p>
            <w:r>
              <w:t xml:space="preserve">Q2</w:t>
            </w:r>
          </w:p>
        </w:tc>
      </w:tr>
      <w:tr>
        <w:tc>
          <w:tcPr>
            <w:tcW w:type="dxa" w:w="3200"/>
          </w:tcPr>
          <w:p>
            <w:r>
              <w:t xml:space="preserve">Food &amp; Beverage</w:t>
            </w:r>
          </w:p>
        </w:tc>
        <w:tc>
          <w:tcPr>
            <w:tcW w:type="dxa" w:w="2900"/>
          </w:tcPr>
          <w:p>
            <w:r>
              <w:t xml:space="preserve">Q4</w:t>
            </w:r>
          </w:p>
        </w:tc>
        <w:tc>
          <w:tcPr>
            <w:tcW w:type="dxa" w:w="2900"/>
          </w:tcPr>
          <w:p>
            <w:r>
              <w:t xml:space="preserve">Q4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t xml:space="preserve">Restaurants &amp; Bars</w:t>
            </w:r>
          </w:p>
        </w:tc>
        <w:tc>
          <w:tcPr>
            <w:tcW w:type="dxa" w:w="2900"/>
            <w:shd w:fill="F2F2F2" w:color="auto" w:val="clear"/>
          </w:tcPr>
          <w:p>
            <w:r>
              <w:t xml:space="preserve">Q1 (pre-lockdown)</w:t>
            </w:r>
          </w:p>
        </w:tc>
        <w:tc>
          <w:tcPr>
            <w:tcW w:type="dxa" w:w="2900"/>
            <w:shd w:fill="F2F2F2" w:color="auto" w:val="clear"/>
          </w:tcPr>
          <w:p>
            <w:r>
              <w:t xml:space="preserve">Q3</w:t>
            </w:r>
          </w:p>
        </w:tc>
      </w:tr>
      <w:tr>
        <w:tc>
          <w:tcPr>
            <w:tcW w:type="dxa" w:w="3200"/>
          </w:tcPr>
          <w:p>
            <w:r>
              <w:t xml:space="preserve">Home Goods &amp; Electronics</w:t>
            </w:r>
          </w:p>
        </w:tc>
        <w:tc>
          <w:tcPr>
            <w:tcW w:type="dxa" w:w="2900"/>
          </w:tcPr>
          <w:p>
            <w:r>
              <w:t xml:space="preserve">Q4</w:t>
            </w:r>
          </w:p>
        </w:tc>
        <w:tc>
          <w:tcPr>
            <w:tcW w:type="dxa" w:w="2900"/>
          </w:tcPr>
          <w:p>
            <w:r>
              <w:t xml:space="preserve">Q4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t xml:space="preserve">General Merchandise</w:t>
            </w:r>
          </w:p>
        </w:tc>
        <w:tc>
          <w:tcPr>
            <w:tcW w:type="dxa" w:w="2900"/>
            <w:shd w:fill="F2F2F2" w:color="auto" w:val="clear"/>
          </w:tcPr>
          <w:p>
            <w:r>
              <w:t xml:space="preserve">Q4</w:t>
            </w:r>
          </w:p>
        </w:tc>
        <w:tc>
          <w:tcPr>
            <w:tcW w:type="dxa" w:w="2900"/>
            <w:shd w:fill="F2F2F2" w:color="auto" w:val="clear"/>
          </w:tcPr>
          <w:p>
            <w:r>
              <w:t xml:space="preserve">Q4</w:t>
            </w:r>
          </w:p>
        </w:tc>
      </w:tr>
    </w:tbl>
    <w:p>
      <w:pPr>
        <w:spacing w:after="200"/>
      </w:pPr>
    </w:p>
    <w:p>
      <w:pPr>
        <w:spacing w:after="80" w:before="100"/>
        <w:jc w:val="center"/>
      </w:pPr>
      <w:r>
        <w:drawing>
          <wp:inline distT="0" distB="0" distL="0" distR="0">
            <wp:extent cx="4381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4. Quarterly sales breakdown and peak quarters by industry, 2020.</w:t>
      </w:r>
    </w:p>
    <w:p>
      <w:pPr>
        <w:spacing w:after="80" w:before="100"/>
        <w:jc w:val="center"/>
      </w:pPr>
      <w:r>
        <w:drawing>
          <wp:inline distT="0" distB="0" distL="0" distR="0">
            <wp:extent cx="4381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5. Quarterly sales breakdown and peak quarters by industry, 2022 — peaks shift back toward pre-pandemic timing.</w:t>
      </w:r>
    </w:p>
    <w:p>
      <w:pPr>
        <w:pStyle w:val="Heading2"/>
        <w:spacing w:after="120" w:before="250"/>
      </w:pPr>
      <w:r>
        <w:t xml:space="preserve">7. Data quality note</w:t>
      </w:r>
    </w:p>
    <w:p>
      <w:pPr>
        <w:spacing w:after="160"/>
      </w:pPr>
      <w:r>
        <w:t xml:space="preserve">261 of 9,048 sales records (~2.9%) were missing and imputed using the median — a reasonable choice given the right-skewed distribution of sales values, but worth flagging to stakeholders as an assumption baked into the figures above.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Recommended Strategies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Prioritize capital and operational investment in Automotive. It's the single largest revenue contributor and showed the strongest post-2020 acceleration — the highest-leverage place to expand supply chain capacity and dealer inventory.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Use Food &amp; Beverage as a defensive anchor. Its stability through the 2020 shock makes it a natural hedge for the broader portfolio during future downturns or economic uncertainty.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Build contingency flexibility into Restaurants &amp; Hospitality. This segment is both high-growth and high-volatility — hybrid/delivery models and flexible staffing would reduce exposure to the next external shock.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Align marketing and inventory cycles to Q4 for General Merchandise and Home Goods/Electronics, where the holiday effect is large and consistent year over year.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Improve sales-data completeness at the source to reduce reliance on imputation in future reporting cycles.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13abba88d360d9479a3d6b18f3e7601fb4e41a.png"/><Relationship Id="rId8" Type="http://schemas.openxmlformats.org/officeDocument/2006/relationships/image" Target="media/be173c2afbb817054109513111d16e090463fdd9.png"/><Relationship Id="rId9" Type="http://schemas.openxmlformats.org/officeDocument/2006/relationships/image" Target="media/467bef1b0ca5b87ec73ddd54d72f3abf89b5ad99.png"/><Relationship Id="rId10" Type="http://schemas.openxmlformats.org/officeDocument/2006/relationships/image" Target="media/9ed590119adb9c31330d0093d46121ebad4f5bdb.png"/><Relationship Id="rId11" Type="http://schemas.openxmlformats.org/officeDocument/2006/relationships/image" Target="media/54a4492f31846eda7f27d274ed9ffea73c4f530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2026-10-04T18:10:34.832Z</dcterms:created>
  <dcterms:modified xsi:type="dcterms:W3CDTF">2026-10-04T18:10:34.832Z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