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توکن‌های cache (prompt caching):</w:t>
      </w:r>
      <w:r>
        <w:rPr>
          <w:rtl/>
        </w:rPr>
        <w:t xml:space="preserve"> بعضی مدل‌ها بخش تکراری ورودی (مثلاً یک پرامپت سیستمی یا مکالمه‌ی بلند) را cache می‌کنند. توکن‌های cache با </w:t>
      </w:r>
      <w:r>
        <w:rPr>
          <w:b/>
          <w:bCs/>
          <w:rtl/>
        </w:rPr>
        <w:t xml:space="preserve">قیمت جدا</w:t>
      </w:r>
      <w:r>
        <w:rPr>
          <w:rtl/>
        </w:rPr>
        <w:t xml:space="preserve"> حساب می‌شوند: خواندن از cache معمولاً خیلی ارزان‌تر از ورودی عادی است و نوشتن در cache کمی گران‌تر. نکات مهم: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پاسخ،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prompt_tokens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شامل توکن‌های cache هم هست</w:t>
      </w:r>
      <w:r>
        <w:rPr>
          <w:rtl/>
        </w:rPr>
        <w:t xml:space="preserve"> و مقدار آن‌ها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usage.prompt_tokens_details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cached_tokens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cache_write_tokens</w:t>
      </w:r>
      <w:r>
        <w:rPr>
          <w:rtl/>
        </w:rPr>
        <w:t xml:space="preserve">) آمده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عدد «توکن‌ها»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هم همه‌ی توکن‌ها را با هم می‌شمارد (ورودی + cache + خروجی). برای همین ممکن است از عددی که کنسول خود سازنده‌ی مدل نشان می‌دهد بیشتر باشد؛ سازنده‌ها معمولاً توکن cache را جدا نشان می‌دهند. </w:t>
      </w:r>
      <w:r>
        <w:rPr>
          <w:b/>
          <w:bCs/>
          <w:rtl/>
        </w:rPr>
        <w:t xml:space="preserve">هزینه</w:t>
      </w:r>
      <w:r>
        <w:rPr>
          <w:rtl/>
        </w:rPr>
        <w:t xml:space="preserve"> با قیمت cache حساب می‌شود، نه با قیمت کامل ورودی.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cache فقط روی مدل‌هایی که پشتیبانی می‌کنند کار می‌کند و بعضی مدل‌ها (مثل Claude) باید در درخواست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cache_control</w:t>
      </w:r>
      <w:r>
        <w:rPr>
          <w:rtl/>
        </w:rPr>
        <w:t xml:space="preserve"> بگذارید. ⚠️ </w:t>
      </w:r>
      <w:r>
        <w:rPr>
          <w:i/>
          <w:iCs/>
          <w:rtl/>
        </w:rPr>
        <w:t xml:space="preserve">این رفتار فقط برای Claude از مسیر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/v1/chat/completions</w:t>
      </w:r>
      <w:r>
        <w:rPr>
          <w:i/>
          <w:iCs/>
          <w:rtl/>
        </w:rPr>
        <w:t xml:space="preserve"> تست شده؛ مدل‌های OpenAI و بقیه تأیید نشده.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سقف بودجه ماهانه است.</w:t>
      </w:r>
      <w:r>
        <w:rPr>
          <w:rtl/>
        </w:rPr>
        <w:t xml:space="preserve"> کارت «بودجه»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مصرف </w:t>
      </w:r>
      <w:r>
        <w:rPr>
          <w:b/>
          <w:bCs/>
          <w:rtl/>
        </w:rPr>
        <w:t xml:space="preserve">۳۰ روز گذشته</w:t>
      </w:r>
      <w:r>
        <w:rPr>
          <w:rtl/>
        </w:rPr>
        <w:t xml:space="preserve"> را در برابر سقف بودجه نشان می‌دهد و به انتخاب «۷ روز / ۳۰ روز» بالای صفحه بستگی ندارد. ⚠️ </w:t>
      </w:r>
      <w:r>
        <w:rPr>
          <w:i/>
          <w:iCs/>
          <w:rtl/>
        </w:rPr>
        <w:t xml:space="preserve">نیاز به تأیید: بازه‌ی دقیق (۳۰ روز غلتان یا ماه شمسی) و زمان ریست.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0xn9emj7lxhga45giefe5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xp_otuluywbmgzkol7q0h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waedph66j-u4_xmm4nxjs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j9ipcn9zvwac5fccsri1z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0xn9emj7lxhga45giefe5" Type="http://schemas.openxmlformats.org/officeDocument/2006/relationships/hyperlink" Target="https://code.visualstudio.com/docs/copilot/customization/language-models" TargetMode="External"/><Relationship Id="rIdxp_otuluywbmgzkol7q0h" Type="http://schemas.openxmlformats.org/officeDocument/2006/relationships/hyperlink" Target="https://opencode.ai/docs/providers/" TargetMode="External"/><Relationship Id="rIdwaedph66j-u4_xmm4nxjs" Type="http://schemas.openxmlformats.org/officeDocument/2006/relationships/hyperlink" Target="https://learn.chatgpt.com/docs/config-file/config-advanced" TargetMode="External"/><Relationship Id="rIdj9ipcn9zvwac5fccsri1z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2026-10-02T14:23:08.570Z</dcterms:created>
  <dcterms:modified xsi:type="dcterms:W3CDTF">2026-10-02T14:23:08.580Z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