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16FA" w14:textId="15C9E9A0" w:rsidR="00013C51" w:rsidRPr="0024388C" w:rsidRDefault="00026E52" w:rsidP="00D9791A">
      <w:pPr>
        <w:jc w:val="center"/>
        <w:rPr>
          <w:b/>
          <w:bCs/>
        </w:rPr>
      </w:pPr>
      <w:r w:rsidRPr="0024388C">
        <w:rPr>
          <w:b/>
          <w:bCs/>
        </w:rPr>
        <w:t>Resultados</w:t>
      </w:r>
    </w:p>
    <w:p w14:paraId="7E145718" w14:textId="0A65151D" w:rsidR="00026E52" w:rsidRDefault="00026E52" w:rsidP="0024388C">
      <w:pPr>
        <w:ind w:firstLine="708"/>
        <w:jc w:val="both"/>
      </w:pPr>
      <w:r>
        <w:t xml:space="preserve">No total foram avaliados 64 pacientes, sendo 46 com LLA e 18 com linfoma. </w:t>
      </w:r>
      <w:r w:rsidR="00450E69">
        <w:t xml:space="preserve">Sendo 26 do sexo feminino e 38 do sexo masculino. A idade </w:t>
      </w:r>
      <w:r w:rsidR="00487615">
        <w:t>média</w:t>
      </w:r>
      <w:r w:rsidR="00450E69">
        <w:t xml:space="preserve"> foi 7,63 (4,91).</w:t>
      </w:r>
      <w:r w:rsidR="00D932EA">
        <w:t xml:space="preserve"> </w:t>
      </w:r>
      <w:r w:rsidR="00450E69">
        <w:t>Foram realizados 393 ciclos de quimioterapia</w:t>
      </w:r>
      <w:r w:rsidR="00D932EA">
        <w:t xml:space="preserve"> e</w:t>
      </w:r>
      <w:r w:rsidR="002E6CE7">
        <w:t>,</w:t>
      </w:r>
      <w:r w:rsidR="00D932EA">
        <w:t xml:space="preserve"> em média</w:t>
      </w:r>
      <w:r w:rsidR="002E6CE7">
        <w:t>,</w:t>
      </w:r>
      <w:r w:rsidR="00D932EA">
        <w:t xml:space="preserve"> cada paciente realizou 6,14 (2,82)</w:t>
      </w:r>
      <w:r w:rsidR="002E6CE7">
        <w:t xml:space="preserve"> ciclos</w:t>
      </w:r>
      <w:r w:rsidR="00D932EA">
        <w:t>, variando entre 2 e 14 ciclos no tratamento</w:t>
      </w:r>
      <w:r w:rsidR="00450E69">
        <w:t xml:space="preserve">. Os protocolos realizados foram </w:t>
      </w:r>
      <w:r w:rsidR="00EC6944">
        <w:t xml:space="preserve">DOXO predominando (34,4%), CTX predominando (17,3%), MTXHD (15,0%) MTX baixas doses (12,7%), MTX+CTX+DOXO (11,5%), CTX+DOXO (5,1%) e MTX+CTX (4,1%). </w:t>
      </w:r>
    </w:p>
    <w:p w14:paraId="0CD5145F" w14:textId="61C4D7C4" w:rsidR="00EC6944" w:rsidRDefault="00EC6944" w:rsidP="0024388C">
      <w:pPr>
        <w:ind w:firstLine="708"/>
        <w:jc w:val="both"/>
      </w:pPr>
      <w:r>
        <w:t>Quando observados isoladamente os casos de LLA, a idade média foi 6,</w:t>
      </w:r>
      <w:r w:rsidR="00512B2C">
        <w:t>17</w:t>
      </w:r>
      <w:r>
        <w:t xml:space="preserve"> (4,33)</w:t>
      </w:r>
      <w:r w:rsidR="00512B2C">
        <w:t xml:space="preserve"> variando entre 0 e 17 anos</w:t>
      </w:r>
      <w:r>
        <w:t xml:space="preserve">, </w:t>
      </w:r>
      <w:r w:rsidR="00512B2C">
        <w:t>sendo 24 (52,2%) do sexo masculino e 22 (47,8%) do sexo feminino.</w:t>
      </w:r>
      <w:r w:rsidR="00D932EA">
        <w:t xml:space="preserve"> O número médio de ciclos realizados foi 6,54 (2,92), variando entre 3 e 14 ciclos.</w:t>
      </w:r>
      <w:r w:rsidR="00512B2C">
        <w:t xml:space="preserve"> Foram realizados 301 ciclos de quimioterapia, onde desses 35,2% (106) foram com </w:t>
      </w:r>
      <w:proofErr w:type="spellStart"/>
      <w:r w:rsidR="00512B2C">
        <w:t>Doxo</w:t>
      </w:r>
      <w:proofErr w:type="spellEnd"/>
      <w:r w:rsidR="00512B2C">
        <w:t xml:space="preserve"> predominante, </w:t>
      </w:r>
      <w:r w:rsidR="007607E9">
        <w:t xml:space="preserve">18,3% (55) foram de MTXHD, 15,6% (47) ciclos de quimioterapia com CTX predominante, 12,6% (38) foram de MTX em baixas doses, 8,3% (25) ciclos de MTX+CTX+DOXO, 6% (18) ciclos de CTX+DOXO e 4% (12) dos ciclos foram de MTX+CTX. </w:t>
      </w:r>
    </w:p>
    <w:p w14:paraId="7602A4D9" w14:textId="7C3C9A01" w:rsidR="00512B2C" w:rsidRDefault="00512B2C" w:rsidP="0024388C">
      <w:pPr>
        <w:ind w:firstLine="708"/>
        <w:jc w:val="both"/>
      </w:pPr>
      <w:r>
        <w:t xml:space="preserve">Nos casos de linfoma, 14 (77,8%) eram do sexo masculino e 4 (22,2%) do sexo feminino. A idade média encontrada foi 11,33 (4,41), variando entre 3 e 17 anos. </w:t>
      </w:r>
      <w:r w:rsidR="007607E9">
        <w:t xml:space="preserve">Em relação ao tratamento quimioterápico, </w:t>
      </w:r>
      <w:r w:rsidR="00D932EA">
        <w:t xml:space="preserve">o número médio de ciclos foi 5,11 (2,29), o paciente que realizou menos ciclos fez 2 e o que fez mais fez 11. </w:t>
      </w:r>
      <w:r w:rsidR="007607E9">
        <w:t>29 (31,5%)</w:t>
      </w:r>
      <w:r w:rsidR="00D932EA">
        <w:t xml:space="preserve"> ciclos</w:t>
      </w:r>
      <w:r w:rsidR="007607E9">
        <w:t xml:space="preserve"> foram com </w:t>
      </w:r>
      <w:proofErr w:type="spellStart"/>
      <w:r w:rsidR="007607E9">
        <w:t>doxo</w:t>
      </w:r>
      <w:proofErr w:type="spellEnd"/>
      <w:r w:rsidR="007607E9">
        <w:t xml:space="preserve"> predominante, 21 (22,8%) com CTX predominante, 20 (21,7%) dos ciclos associavam MTX+CTX+DOXO, 12 </w:t>
      </w:r>
      <w:r w:rsidR="000E3879">
        <w:t>(13%) de MTX com baixas doses, 4 ciclos de MTX+ CTX e 4 de MTXHD (4,3%) e 2 (2,2%) associando DOXO e CTX.</w:t>
      </w:r>
    </w:p>
    <w:p w14:paraId="3BED010A" w14:textId="71E81E74" w:rsidR="00D932EA" w:rsidRDefault="004B59A6" w:rsidP="0024388C">
      <w:pPr>
        <w:ind w:firstLine="708"/>
        <w:jc w:val="both"/>
      </w:pPr>
      <w:r>
        <w:t>Dos 393 ciclos, em 392 foram coletad</w:t>
      </w:r>
      <w:r w:rsidR="00570134">
        <w:t xml:space="preserve">os dados sobre a MO. Em 134 (34,1%) ciclos não houve desenvolvimento de MO, 122 (31,0%) desenvolveram grau 1, 100 (25,4%) grau 2 e 36 (9,2%) dos ciclos foi encontrada MO grau 3. Metade dos casos tiveram o seu pior desfecho de MO até o dia 7. Se observados os pacientes a partir do diagnóstico, daqueles diagnosticados com LLA, em 110 (36,5%) não desenvolveram </w:t>
      </w:r>
      <w:r w:rsidR="00487615">
        <w:t>MO, em</w:t>
      </w:r>
      <w:r w:rsidR="0024388C">
        <w:t xml:space="preserve"> </w:t>
      </w:r>
      <w:r w:rsidR="00570134">
        <w:t>94 (31,2</w:t>
      </w:r>
      <w:r w:rsidR="0024388C">
        <w:t xml:space="preserve">%) ciclos foi encontrada MO grau 1, 73 (24,3%) MO grau 2 e 23 (7,6%) grau 3. Já nos casos de linfoma, 24 (26,1%) dos ciclos não desencadearam MO, 28 (30,4%) ciclos desenvolveram grau 1, 27 (29,3%) grau 2 e 13 (14,1%) grau 3. Em </w:t>
      </w:r>
      <w:r w:rsidR="00487615">
        <w:t>ambos os diagnósticos</w:t>
      </w:r>
      <w:r w:rsidR="0024388C">
        <w:t xml:space="preserve">, 50% dos casos tiveram sua pior apresentação de MO entre o dia 7 e 8 do ciclo. </w:t>
      </w:r>
    </w:p>
    <w:p w14:paraId="0B989A66" w14:textId="77777777" w:rsidR="00D70360" w:rsidRP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4635" w:type="dxa"/>
        <w:tblInd w:w="192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992"/>
        <w:gridCol w:w="992"/>
        <w:gridCol w:w="1096"/>
      </w:tblGrid>
      <w:tr w:rsidR="00D70360" w:rsidRPr="00D70360" w14:paraId="7A3A1086" w14:textId="77777777" w:rsidTr="00073F4F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65F2FB7A" w14:textId="31B8922F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Diagnóstico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9563A20" w14:textId="20DCEE8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00BD16" w14:textId="56B77C45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14:paraId="4D417A1B" w14:textId="58274AFE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</w:tr>
      <w:tr w:rsidR="00D70360" w:rsidRPr="00D70360" w14:paraId="78C0CA81" w14:textId="77777777" w:rsidTr="00073F4F">
        <w:tc>
          <w:tcPr>
            <w:tcW w:w="1555" w:type="dxa"/>
            <w:vMerge w:val="restart"/>
            <w:tcBorders>
              <w:top w:val="single" w:sz="4" w:space="0" w:color="auto"/>
            </w:tcBorders>
          </w:tcPr>
          <w:p w14:paraId="1B60DC18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Linfoma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378488B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883AFAC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14:paraId="5CD1E4D0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26,1</w:t>
            </w:r>
          </w:p>
        </w:tc>
      </w:tr>
      <w:tr w:rsidR="00D70360" w:rsidRPr="00D70360" w14:paraId="75811D21" w14:textId="77777777" w:rsidTr="00073F4F">
        <w:tc>
          <w:tcPr>
            <w:tcW w:w="1555" w:type="dxa"/>
            <w:vMerge/>
          </w:tcPr>
          <w:p w14:paraId="1725AEFA" w14:textId="77777777" w:rsidR="00D70360" w:rsidRPr="00D70360" w:rsidRDefault="00D70360" w:rsidP="00D7036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F9609E7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7A06AAEC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96" w:type="dxa"/>
          </w:tcPr>
          <w:p w14:paraId="37C18938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30,4</w:t>
            </w:r>
          </w:p>
        </w:tc>
      </w:tr>
      <w:tr w:rsidR="00D70360" w:rsidRPr="00D70360" w14:paraId="26D635A2" w14:textId="77777777" w:rsidTr="00073F4F">
        <w:tc>
          <w:tcPr>
            <w:tcW w:w="1555" w:type="dxa"/>
            <w:vMerge/>
          </w:tcPr>
          <w:p w14:paraId="754762C3" w14:textId="77777777" w:rsidR="00D70360" w:rsidRPr="00D70360" w:rsidRDefault="00D70360" w:rsidP="00D7036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1CE7AF0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094F1338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96" w:type="dxa"/>
          </w:tcPr>
          <w:p w14:paraId="7302F170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29,3</w:t>
            </w:r>
          </w:p>
        </w:tc>
      </w:tr>
      <w:tr w:rsidR="00D70360" w:rsidRPr="00D70360" w14:paraId="384140A8" w14:textId="77777777" w:rsidTr="00073F4F">
        <w:tc>
          <w:tcPr>
            <w:tcW w:w="1555" w:type="dxa"/>
            <w:vMerge/>
          </w:tcPr>
          <w:p w14:paraId="02D4411A" w14:textId="77777777" w:rsidR="00D70360" w:rsidRPr="00D70360" w:rsidRDefault="00D70360" w:rsidP="00D7036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11DFF69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14:paraId="06DC3ADC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96" w:type="dxa"/>
          </w:tcPr>
          <w:p w14:paraId="03B3AE01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14,1</w:t>
            </w:r>
          </w:p>
        </w:tc>
      </w:tr>
      <w:tr w:rsidR="00D70360" w:rsidRPr="00D70360" w14:paraId="5053C265" w14:textId="77777777" w:rsidTr="00073F4F">
        <w:tc>
          <w:tcPr>
            <w:tcW w:w="1555" w:type="dxa"/>
            <w:vMerge/>
          </w:tcPr>
          <w:p w14:paraId="3A5A4EF7" w14:textId="77777777" w:rsidR="00D70360" w:rsidRPr="00D70360" w:rsidRDefault="00D70360" w:rsidP="00D7036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E1E8129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92" w:type="dxa"/>
          </w:tcPr>
          <w:p w14:paraId="434DABDB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96" w:type="dxa"/>
          </w:tcPr>
          <w:p w14:paraId="04B18F5A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D70360" w:rsidRPr="00D70360" w14:paraId="1BDF8869" w14:textId="77777777" w:rsidTr="00073F4F">
        <w:tc>
          <w:tcPr>
            <w:tcW w:w="1555" w:type="dxa"/>
            <w:vMerge w:val="restart"/>
          </w:tcPr>
          <w:p w14:paraId="385570D6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LLA</w:t>
            </w:r>
          </w:p>
        </w:tc>
        <w:tc>
          <w:tcPr>
            <w:tcW w:w="992" w:type="dxa"/>
          </w:tcPr>
          <w:p w14:paraId="040195F8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4BE2FCD9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096" w:type="dxa"/>
          </w:tcPr>
          <w:p w14:paraId="619AB405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36,7</w:t>
            </w:r>
          </w:p>
        </w:tc>
      </w:tr>
      <w:tr w:rsidR="00D70360" w:rsidRPr="00D70360" w14:paraId="5E4D3AD4" w14:textId="77777777" w:rsidTr="00073F4F">
        <w:tc>
          <w:tcPr>
            <w:tcW w:w="1555" w:type="dxa"/>
            <w:vMerge/>
          </w:tcPr>
          <w:p w14:paraId="6980D751" w14:textId="77777777" w:rsidR="00D70360" w:rsidRPr="00D70360" w:rsidRDefault="00D70360" w:rsidP="00D7036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CB59428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2D0168E5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96" w:type="dxa"/>
          </w:tcPr>
          <w:p w14:paraId="73754B93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31,3</w:t>
            </w:r>
          </w:p>
        </w:tc>
      </w:tr>
      <w:tr w:rsidR="00D70360" w:rsidRPr="00D70360" w14:paraId="1525C5CD" w14:textId="77777777" w:rsidTr="00073F4F">
        <w:tc>
          <w:tcPr>
            <w:tcW w:w="1555" w:type="dxa"/>
            <w:vMerge/>
          </w:tcPr>
          <w:p w14:paraId="53D6D02C" w14:textId="77777777" w:rsidR="00D70360" w:rsidRPr="00D70360" w:rsidRDefault="00D70360" w:rsidP="00D7036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354FE1E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1EA5BCB6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096" w:type="dxa"/>
          </w:tcPr>
          <w:p w14:paraId="1A1B0C68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24,3</w:t>
            </w:r>
          </w:p>
        </w:tc>
      </w:tr>
      <w:tr w:rsidR="00D70360" w:rsidRPr="00D70360" w14:paraId="155416A9" w14:textId="77777777" w:rsidTr="00073F4F">
        <w:tc>
          <w:tcPr>
            <w:tcW w:w="1555" w:type="dxa"/>
            <w:vMerge/>
          </w:tcPr>
          <w:p w14:paraId="652217EC" w14:textId="77777777" w:rsidR="00D70360" w:rsidRPr="00D70360" w:rsidRDefault="00D70360" w:rsidP="00D7036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095774E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14:paraId="610ECD57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96" w:type="dxa"/>
          </w:tcPr>
          <w:p w14:paraId="638DAC49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7,7</w:t>
            </w:r>
          </w:p>
        </w:tc>
      </w:tr>
      <w:tr w:rsidR="00D70360" w:rsidRPr="00D70360" w14:paraId="0C1590C1" w14:textId="77777777" w:rsidTr="00073F4F">
        <w:tc>
          <w:tcPr>
            <w:tcW w:w="1555" w:type="dxa"/>
            <w:vMerge/>
          </w:tcPr>
          <w:p w14:paraId="55F60877" w14:textId="77777777" w:rsidR="00D70360" w:rsidRPr="00D70360" w:rsidRDefault="00D70360" w:rsidP="00D7036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02BDDB8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92" w:type="dxa"/>
          </w:tcPr>
          <w:p w14:paraId="4DE595B0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96" w:type="dxa"/>
          </w:tcPr>
          <w:p w14:paraId="1F70C6F7" w14:textId="77777777" w:rsidR="00D70360" w:rsidRPr="00D70360" w:rsidRDefault="00D70360" w:rsidP="00D703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0360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</w:tbl>
    <w:p w14:paraId="498737AA" w14:textId="77777777" w:rsidR="00D70360" w:rsidRPr="00D70360" w:rsidRDefault="00D70360" w:rsidP="00D7036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D83A07F" w14:textId="77777777" w:rsidR="00D70360" w:rsidRDefault="00D70360" w:rsidP="0024388C">
      <w:pPr>
        <w:ind w:firstLine="708"/>
        <w:jc w:val="both"/>
      </w:pPr>
    </w:p>
    <w:p w14:paraId="3BF3552C" w14:textId="19CAA9DF" w:rsidR="00031EB1" w:rsidRDefault="008030A2" w:rsidP="0024388C">
      <w:pPr>
        <w:ind w:firstLine="708"/>
        <w:jc w:val="both"/>
      </w:pPr>
      <w:r>
        <w:lastRenderedPageBreak/>
        <w:t xml:space="preserve">Em uma análise descritiva </w:t>
      </w:r>
      <w:r w:rsidR="00487615">
        <w:t>sobre</w:t>
      </w:r>
      <w:r w:rsidR="00E55BDA">
        <w:t xml:space="preserve"> dos protocolos quimioterápicos, aqueles que realizaram MTX </w:t>
      </w:r>
      <w:r w:rsidR="006D0DDB">
        <w:t xml:space="preserve">em altas doses (59) tinham uma idade média de 7,36 (4,58), 59,3% </w:t>
      </w:r>
      <w:r w:rsidR="00482373">
        <w:t xml:space="preserve">(35) </w:t>
      </w:r>
      <w:r w:rsidR="006D0DDB">
        <w:t>eram do sexo masculino</w:t>
      </w:r>
      <w:r w:rsidR="00482373">
        <w:t>, em 23</w:t>
      </w:r>
      <w:r w:rsidR="00926F03">
        <w:t xml:space="preserve"> (39,</w:t>
      </w:r>
      <w:r w:rsidR="00487615">
        <w:t>0</w:t>
      </w:r>
      <w:r w:rsidR="00926F03">
        <w:t>%)</w:t>
      </w:r>
      <w:r w:rsidR="00482373">
        <w:t xml:space="preserve"> ciclos </w:t>
      </w:r>
      <w:r w:rsidR="00926F03">
        <w:t xml:space="preserve">não foram associados com MO, 17 (28,8%) foi diagnosticada MO grau 1, </w:t>
      </w:r>
      <w:r w:rsidR="009224ED">
        <w:t xml:space="preserve">também em 17 (28,8%) MO grau 2 e em apenas dos ciclos com MTXHD foi encontrada MO grau 3. 50% dos casos apresentaram </w:t>
      </w:r>
      <w:r w:rsidR="008073C6">
        <w:t>a pior MO no dia 7.</w:t>
      </w:r>
      <w:r w:rsidR="00B529CB">
        <w:t xml:space="preserve"> Nos casos do uso do MTX em baixas doses (50), a idade média encontrada foi 5,64 (4</w:t>
      </w:r>
      <w:r w:rsidR="00FB0D76">
        <w:t xml:space="preserve">,08), sendo 31 (62,0) do sexo masculino. </w:t>
      </w:r>
      <w:r w:rsidR="00F210DD">
        <w:t xml:space="preserve">Em 14 (28%) dos ciclos não houve desenvolvimento de MO, </w:t>
      </w:r>
      <w:r w:rsidR="00640B2C">
        <w:t xml:space="preserve">já em 19 (38,0%) foi encontrada MO grau 1, 14 (28,0%) MO grau 2 e 3 (6,0%) </w:t>
      </w:r>
      <w:r w:rsidR="000C671C">
        <w:t>grau 3. 50% dos casos apresentaram a pior MO entre os dias 7 e 8.</w:t>
      </w:r>
    </w:p>
    <w:p w14:paraId="7C5FB576" w14:textId="1DB9FEA3" w:rsidR="008073C6" w:rsidRDefault="008073C6" w:rsidP="0024388C">
      <w:pPr>
        <w:ind w:firstLine="708"/>
        <w:jc w:val="both"/>
      </w:pPr>
      <w:r>
        <w:t xml:space="preserve">Quando observados os ciclos com a </w:t>
      </w:r>
      <w:proofErr w:type="spellStart"/>
      <w:r>
        <w:t>Doxo</w:t>
      </w:r>
      <w:proofErr w:type="spellEnd"/>
      <w:r>
        <w:t xml:space="preserve"> predominante (134), a idade média encontrada foi 8,48 (5,22), 77 (57,05) eram do sexo masculino</w:t>
      </w:r>
      <w:r w:rsidR="004012CB">
        <w:t xml:space="preserve">. Em 55 (41%) dos ciclos não foi observada MO, </w:t>
      </w:r>
      <w:r w:rsidR="00D459C8">
        <w:t>em 46 (34,</w:t>
      </w:r>
      <w:r w:rsidR="000A6C47">
        <w:t>3</w:t>
      </w:r>
      <w:r w:rsidR="00487615">
        <w:t>%) foi</w:t>
      </w:r>
      <w:r w:rsidR="00D459C8">
        <w:t xml:space="preserve"> encontrada MO grau 1, 29 (21,</w:t>
      </w:r>
      <w:r w:rsidR="000A6C47">
        <w:t>6</w:t>
      </w:r>
      <w:r w:rsidR="00D459C8">
        <w:t>%) grau 2 e em 4 (</w:t>
      </w:r>
      <w:r w:rsidR="000A6C47">
        <w:t>3</w:t>
      </w:r>
      <w:r w:rsidR="00D459C8">
        <w:t>,0</w:t>
      </w:r>
      <w:r w:rsidR="000A6C47">
        <w:t xml:space="preserve">%) grau 3. </w:t>
      </w:r>
      <w:r w:rsidR="00570429">
        <w:t>A pior avaliação foi encontrada e</w:t>
      </w:r>
      <w:r w:rsidR="00FF6D82">
        <w:t>ntre os dias 7 e 8 em metade dessa amostra.</w:t>
      </w:r>
    </w:p>
    <w:p w14:paraId="7D14ED38" w14:textId="204305CC" w:rsidR="009B1736" w:rsidRDefault="009B1736" w:rsidP="0024388C">
      <w:pPr>
        <w:ind w:firstLine="708"/>
        <w:jc w:val="both"/>
      </w:pPr>
      <w:r>
        <w:t xml:space="preserve">A associação de MTX+CTX+DOXO foi encontrada em 45 ciclos, </w:t>
      </w:r>
      <w:r w:rsidR="00570429">
        <w:t>com uma idade média de 8,11 (4,84%), onde 31 (68,9%) eram do sexo masculino.</w:t>
      </w:r>
      <w:r w:rsidR="00A0328C">
        <w:t xml:space="preserve"> </w:t>
      </w:r>
      <w:r w:rsidR="002B5024">
        <w:t xml:space="preserve">17,8% (8) desses ciclos não desenvolveram MO </w:t>
      </w:r>
      <w:r w:rsidR="00487615">
        <w:t>nos pacientes</w:t>
      </w:r>
      <w:r w:rsidR="002B5024">
        <w:t xml:space="preserve">, no entanto, </w:t>
      </w:r>
      <w:r w:rsidR="007378B0">
        <w:t xml:space="preserve">6 (13,3%) desenvolveram grau 1, 17 (37,8%) grau 3 e 14 (31,1) grau 3. O pior diagnóstico foi feito entre os dias </w:t>
      </w:r>
      <w:r w:rsidR="00B529CB">
        <w:t xml:space="preserve">8 e 9 do ciclo em 50% desses casos. </w:t>
      </w:r>
    </w:p>
    <w:p w14:paraId="755796A5" w14:textId="77777777" w:rsidR="00D9791A" w:rsidRDefault="00D9791A" w:rsidP="00D9791A">
      <w:pPr>
        <w:ind w:firstLine="708"/>
        <w:jc w:val="both"/>
      </w:pPr>
      <w:r>
        <w:t xml:space="preserve">Quando o CTX predominou no ciclo quimioterápico (68), a idade média encontrada foi 7,46 (5,31), com uma predominância do sexo masculino (75%). MO grau 1 foi diagnosticada em 22 (32,4%) dos ciclos, grau 2 em 16 (23,5%) e grau 3 em 4 (5,9%) ciclos. Não foi observada MO em 26 (38,2%) dos ciclos. O pior diagnóstico foi feito entre os dias 6 e 7 do ciclo em 50% desses casos. </w:t>
      </w:r>
    </w:p>
    <w:p w14:paraId="3A23E2B8" w14:textId="15A22558" w:rsidR="00D9791A" w:rsidRDefault="00D9791A" w:rsidP="00D9791A">
      <w:pPr>
        <w:ind w:firstLine="708"/>
        <w:jc w:val="both"/>
      </w:pPr>
      <w:r>
        <w:t>A associação de MTX+CTX foi feita em 16 ciclos, em uma idade média de 5,69 (4,39), sendo 11 (68,8%) do sexo masculino. Em relação à MO, ela não foi encontrada em 31,3% (5) dos ciclos, grau 1 foi encontrado em 31,3% (5), assim como o grau 3. Já o grau 2 foi encontrado em apenas 1 (6,3%) ciclo. O pior diagnóstico foi feito entre os dias 7 e 8 do ciclo em 50% desses casos. Já a associação de CTX+DOXO foi realizada em 20 ciclos, com uma idade média de 10,20 (3,69) anos, sendo 85% (17) do sexo masculino.  Em 7 (35,0%) desses ciclos foi observada MO grau 1, 6 (30,0%), grau 2 e em 4 (20,0%) grau 3. Em 15% dos ciclos não foi observado o desenvolvimento de MO. O pior diagnóstico foi feito entre os dias 6 e 7 do ciclo em 50% desses casos.</w:t>
      </w:r>
    </w:p>
    <w:tbl>
      <w:tblPr>
        <w:tblStyle w:val="Tabelacomgrade"/>
        <w:tblpPr w:leftFromText="141" w:rightFromText="141" w:vertAnchor="text" w:horzAnchor="margin" w:tblpXSpec="center" w:tblpY="186"/>
        <w:tblW w:w="548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973"/>
        <w:gridCol w:w="1216"/>
        <w:gridCol w:w="1460"/>
      </w:tblGrid>
      <w:tr w:rsidR="00D9791A" w:rsidRPr="00065D08" w14:paraId="7C2BE228" w14:textId="77777777" w:rsidTr="00D9791A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14:paraId="0E823C15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Protocolo</w:t>
            </w: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14:paraId="35479B24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</w:tcPr>
          <w:p w14:paraId="17177FAF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single" w:sz="4" w:space="0" w:color="auto"/>
              <w:bottom w:val="single" w:sz="4" w:space="0" w:color="auto"/>
            </w:tcBorders>
          </w:tcPr>
          <w:p w14:paraId="7B8A1A9D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</w:tr>
      <w:tr w:rsidR="00D9791A" w:rsidRPr="00065D08" w14:paraId="707526DD" w14:textId="77777777" w:rsidTr="00D9791A">
        <w:tc>
          <w:tcPr>
            <w:tcW w:w="1838" w:type="dxa"/>
            <w:vMerge w:val="restart"/>
            <w:tcBorders>
              <w:top w:val="single" w:sz="4" w:space="0" w:color="auto"/>
            </w:tcBorders>
          </w:tcPr>
          <w:p w14:paraId="3A9012BD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MTX altas doses</w:t>
            </w:r>
          </w:p>
        </w:tc>
        <w:tc>
          <w:tcPr>
            <w:tcW w:w="973" w:type="dxa"/>
            <w:tcBorders>
              <w:top w:val="single" w:sz="4" w:space="0" w:color="auto"/>
            </w:tcBorders>
          </w:tcPr>
          <w:p w14:paraId="442BC064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6" w:type="dxa"/>
            <w:tcBorders>
              <w:top w:val="single" w:sz="4" w:space="0" w:color="auto"/>
            </w:tcBorders>
          </w:tcPr>
          <w:p w14:paraId="5D808D19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14:paraId="27B1F0F1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39,0</w:t>
            </w:r>
          </w:p>
        </w:tc>
      </w:tr>
      <w:tr w:rsidR="00D9791A" w:rsidRPr="00065D08" w14:paraId="353D182F" w14:textId="77777777" w:rsidTr="00D9791A">
        <w:tc>
          <w:tcPr>
            <w:tcW w:w="1838" w:type="dxa"/>
            <w:vMerge/>
          </w:tcPr>
          <w:p w14:paraId="5960D9E7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7394693A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16" w:type="dxa"/>
          </w:tcPr>
          <w:p w14:paraId="1F95CF02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60" w:type="dxa"/>
          </w:tcPr>
          <w:p w14:paraId="513339CC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28,8</w:t>
            </w:r>
          </w:p>
        </w:tc>
      </w:tr>
      <w:tr w:rsidR="00D9791A" w:rsidRPr="00065D08" w14:paraId="0C9355EB" w14:textId="77777777" w:rsidTr="00D9791A">
        <w:tc>
          <w:tcPr>
            <w:tcW w:w="1838" w:type="dxa"/>
            <w:vMerge/>
          </w:tcPr>
          <w:p w14:paraId="03D58B16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32456D76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16" w:type="dxa"/>
          </w:tcPr>
          <w:p w14:paraId="2C8510A0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60" w:type="dxa"/>
          </w:tcPr>
          <w:p w14:paraId="07DB8BEA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28,8</w:t>
            </w:r>
          </w:p>
        </w:tc>
      </w:tr>
      <w:tr w:rsidR="00D9791A" w:rsidRPr="00065D08" w14:paraId="13CCC9CA" w14:textId="77777777" w:rsidTr="00D9791A">
        <w:tc>
          <w:tcPr>
            <w:tcW w:w="1838" w:type="dxa"/>
            <w:vMerge/>
          </w:tcPr>
          <w:p w14:paraId="0B53DDE8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2B74D657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16" w:type="dxa"/>
          </w:tcPr>
          <w:p w14:paraId="3C4F7EE7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0" w:type="dxa"/>
          </w:tcPr>
          <w:p w14:paraId="50C43FB4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3,4</w:t>
            </w:r>
          </w:p>
        </w:tc>
      </w:tr>
      <w:tr w:rsidR="00D9791A" w:rsidRPr="00065D08" w14:paraId="2F103435" w14:textId="77777777" w:rsidTr="00D9791A">
        <w:tc>
          <w:tcPr>
            <w:tcW w:w="1838" w:type="dxa"/>
            <w:vMerge/>
          </w:tcPr>
          <w:p w14:paraId="3266055A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0EE825AA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16" w:type="dxa"/>
          </w:tcPr>
          <w:p w14:paraId="7AF9A7AC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460" w:type="dxa"/>
          </w:tcPr>
          <w:p w14:paraId="56A2652C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D9791A" w:rsidRPr="00065D08" w14:paraId="23F5C8B7" w14:textId="77777777" w:rsidTr="00D9791A">
        <w:tc>
          <w:tcPr>
            <w:tcW w:w="1838" w:type="dxa"/>
            <w:vMerge w:val="restart"/>
          </w:tcPr>
          <w:p w14:paraId="1BAFAC53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DOXO predomina</w:t>
            </w:r>
          </w:p>
        </w:tc>
        <w:tc>
          <w:tcPr>
            <w:tcW w:w="973" w:type="dxa"/>
          </w:tcPr>
          <w:p w14:paraId="3D72A22D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6" w:type="dxa"/>
          </w:tcPr>
          <w:p w14:paraId="71C470C3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460" w:type="dxa"/>
          </w:tcPr>
          <w:p w14:paraId="1826CF92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41,0</w:t>
            </w:r>
          </w:p>
        </w:tc>
      </w:tr>
      <w:tr w:rsidR="00D9791A" w:rsidRPr="00065D08" w14:paraId="4C86C8B6" w14:textId="77777777" w:rsidTr="00D9791A">
        <w:tc>
          <w:tcPr>
            <w:tcW w:w="1838" w:type="dxa"/>
            <w:vMerge/>
          </w:tcPr>
          <w:p w14:paraId="2721E28F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59FD45C4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16" w:type="dxa"/>
          </w:tcPr>
          <w:p w14:paraId="646A446C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460" w:type="dxa"/>
          </w:tcPr>
          <w:p w14:paraId="5BCFC35E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34,3</w:t>
            </w:r>
          </w:p>
        </w:tc>
      </w:tr>
      <w:tr w:rsidR="00D9791A" w:rsidRPr="00065D08" w14:paraId="2E69FC14" w14:textId="77777777" w:rsidTr="00D9791A">
        <w:tc>
          <w:tcPr>
            <w:tcW w:w="1838" w:type="dxa"/>
            <w:vMerge/>
          </w:tcPr>
          <w:p w14:paraId="69CEC69B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3CA61601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16" w:type="dxa"/>
          </w:tcPr>
          <w:p w14:paraId="4AA6FB34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60" w:type="dxa"/>
          </w:tcPr>
          <w:p w14:paraId="02FFE7BD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21,6</w:t>
            </w:r>
          </w:p>
        </w:tc>
      </w:tr>
      <w:tr w:rsidR="00D9791A" w:rsidRPr="00065D08" w14:paraId="2A291CDE" w14:textId="77777777" w:rsidTr="00D9791A">
        <w:tc>
          <w:tcPr>
            <w:tcW w:w="1838" w:type="dxa"/>
            <w:vMerge/>
          </w:tcPr>
          <w:p w14:paraId="32F84A82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7A4F3364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16" w:type="dxa"/>
          </w:tcPr>
          <w:p w14:paraId="4B737F2F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60" w:type="dxa"/>
          </w:tcPr>
          <w:p w14:paraId="28E311A8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3,0</w:t>
            </w:r>
          </w:p>
        </w:tc>
      </w:tr>
      <w:tr w:rsidR="00D9791A" w:rsidRPr="00065D08" w14:paraId="3588822D" w14:textId="77777777" w:rsidTr="00D9791A">
        <w:tc>
          <w:tcPr>
            <w:tcW w:w="1838" w:type="dxa"/>
            <w:vMerge/>
          </w:tcPr>
          <w:p w14:paraId="06454B64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2B69ED88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16" w:type="dxa"/>
          </w:tcPr>
          <w:p w14:paraId="19CA48B5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1460" w:type="dxa"/>
          </w:tcPr>
          <w:p w14:paraId="00541A7B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D9791A" w:rsidRPr="00065D08" w14:paraId="6FD6A858" w14:textId="77777777" w:rsidTr="00D9791A">
        <w:tc>
          <w:tcPr>
            <w:tcW w:w="1838" w:type="dxa"/>
            <w:vMerge w:val="restart"/>
          </w:tcPr>
          <w:p w14:paraId="50F6D99B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MTX + CTX + DOXO</w:t>
            </w:r>
          </w:p>
        </w:tc>
        <w:tc>
          <w:tcPr>
            <w:tcW w:w="973" w:type="dxa"/>
          </w:tcPr>
          <w:p w14:paraId="2906EEB2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6" w:type="dxa"/>
          </w:tcPr>
          <w:p w14:paraId="09FFDEE9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60" w:type="dxa"/>
          </w:tcPr>
          <w:p w14:paraId="3817459F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17,8</w:t>
            </w:r>
          </w:p>
        </w:tc>
      </w:tr>
      <w:tr w:rsidR="00D9791A" w:rsidRPr="00065D08" w14:paraId="46783291" w14:textId="77777777" w:rsidTr="00D9791A">
        <w:tc>
          <w:tcPr>
            <w:tcW w:w="1838" w:type="dxa"/>
            <w:vMerge/>
          </w:tcPr>
          <w:p w14:paraId="19053208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775D0C55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16" w:type="dxa"/>
          </w:tcPr>
          <w:p w14:paraId="47AF1842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60" w:type="dxa"/>
          </w:tcPr>
          <w:p w14:paraId="23426DBA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13,3</w:t>
            </w:r>
          </w:p>
        </w:tc>
      </w:tr>
      <w:tr w:rsidR="00D9791A" w:rsidRPr="00065D08" w14:paraId="71E128D8" w14:textId="77777777" w:rsidTr="00D9791A">
        <w:tc>
          <w:tcPr>
            <w:tcW w:w="1838" w:type="dxa"/>
            <w:vMerge/>
          </w:tcPr>
          <w:p w14:paraId="0C38AEC9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7595FAC8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16" w:type="dxa"/>
          </w:tcPr>
          <w:p w14:paraId="15C2B97A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60" w:type="dxa"/>
          </w:tcPr>
          <w:p w14:paraId="6A5249AC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37,8</w:t>
            </w:r>
          </w:p>
        </w:tc>
      </w:tr>
      <w:tr w:rsidR="00D9791A" w:rsidRPr="00065D08" w14:paraId="61B10FA6" w14:textId="77777777" w:rsidTr="00D9791A">
        <w:tc>
          <w:tcPr>
            <w:tcW w:w="1838" w:type="dxa"/>
            <w:vMerge/>
          </w:tcPr>
          <w:p w14:paraId="65E8CCBE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2F0392FB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16" w:type="dxa"/>
          </w:tcPr>
          <w:p w14:paraId="372A679F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60" w:type="dxa"/>
          </w:tcPr>
          <w:p w14:paraId="70D620B1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31,1</w:t>
            </w:r>
          </w:p>
        </w:tc>
      </w:tr>
      <w:tr w:rsidR="00D9791A" w:rsidRPr="00065D08" w14:paraId="1EBD4EB5" w14:textId="77777777" w:rsidTr="00D9791A">
        <w:tc>
          <w:tcPr>
            <w:tcW w:w="1838" w:type="dxa"/>
            <w:vMerge/>
          </w:tcPr>
          <w:p w14:paraId="60B23C21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30B99C40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16" w:type="dxa"/>
          </w:tcPr>
          <w:p w14:paraId="5BAC0A0E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460" w:type="dxa"/>
          </w:tcPr>
          <w:p w14:paraId="720AADE0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D9791A" w:rsidRPr="00065D08" w14:paraId="439ECE10" w14:textId="77777777" w:rsidTr="00D9791A">
        <w:tc>
          <w:tcPr>
            <w:tcW w:w="1838" w:type="dxa"/>
            <w:vMerge w:val="restart"/>
          </w:tcPr>
          <w:p w14:paraId="5F81319F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MTX baixa dose</w:t>
            </w:r>
          </w:p>
        </w:tc>
        <w:tc>
          <w:tcPr>
            <w:tcW w:w="973" w:type="dxa"/>
          </w:tcPr>
          <w:p w14:paraId="7A597F9E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6" w:type="dxa"/>
          </w:tcPr>
          <w:p w14:paraId="5681CEF4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60" w:type="dxa"/>
          </w:tcPr>
          <w:p w14:paraId="4CED3889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28,0</w:t>
            </w:r>
          </w:p>
        </w:tc>
      </w:tr>
      <w:tr w:rsidR="00D9791A" w:rsidRPr="00065D08" w14:paraId="00B1B3E4" w14:textId="77777777" w:rsidTr="00D9791A">
        <w:tc>
          <w:tcPr>
            <w:tcW w:w="1838" w:type="dxa"/>
            <w:vMerge/>
          </w:tcPr>
          <w:p w14:paraId="3E54240A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3CF76082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16" w:type="dxa"/>
          </w:tcPr>
          <w:p w14:paraId="793E4300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60" w:type="dxa"/>
          </w:tcPr>
          <w:p w14:paraId="649D46CB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38,0</w:t>
            </w:r>
          </w:p>
        </w:tc>
      </w:tr>
      <w:tr w:rsidR="00D9791A" w:rsidRPr="00065D08" w14:paraId="3163B3C5" w14:textId="77777777" w:rsidTr="00D9791A">
        <w:tc>
          <w:tcPr>
            <w:tcW w:w="1838" w:type="dxa"/>
            <w:vMerge/>
          </w:tcPr>
          <w:p w14:paraId="3C4ED2A6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36F3F336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16" w:type="dxa"/>
          </w:tcPr>
          <w:p w14:paraId="47C639CE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60" w:type="dxa"/>
          </w:tcPr>
          <w:p w14:paraId="1AA46FDA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28,0</w:t>
            </w:r>
          </w:p>
        </w:tc>
      </w:tr>
      <w:tr w:rsidR="00D9791A" w:rsidRPr="00065D08" w14:paraId="2739129F" w14:textId="77777777" w:rsidTr="00D9791A">
        <w:tc>
          <w:tcPr>
            <w:tcW w:w="1838" w:type="dxa"/>
            <w:vMerge/>
          </w:tcPr>
          <w:p w14:paraId="58F46189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324E9DDC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16" w:type="dxa"/>
          </w:tcPr>
          <w:p w14:paraId="0D0AD9A4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60" w:type="dxa"/>
          </w:tcPr>
          <w:p w14:paraId="744C1E73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6,0</w:t>
            </w:r>
          </w:p>
        </w:tc>
      </w:tr>
      <w:tr w:rsidR="00D9791A" w:rsidRPr="00065D08" w14:paraId="092CD94C" w14:textId="77777777" w:rsidTr="00D9791A">
        <w:tc>
          <w:tcPr>
            <w:tcW w:w="1838" w:type="dxa"/>
            <w:vMerge/>
          </w:tcPr>
          <w:p w14:paraId="538C2684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42AE7E1B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16" w:type="dxa"/>
          </w:tcPr>
          <w:p w14:paraId="3B2897B8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460" w:type="dxa"/>
          </w:tcPr>
          <w:p w14:paraId="1F513361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D9791A" w:rsidRPr="00065D08" w14:paraId="2BF4CE7B" w14:textId="77777777" w:rsidTr="00D9791A">
        <w:tc>
          <w:tcPr>
            <w:tcW w:w="1838" w:type="dxa"/>
            <w:vMerge w:val="restart"/>
          </w:tcPr>
          <w:p w14:paraId="1898EFE9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MTX + CTX</w:t>
            </w:r>
          </w:p>
        </w:tc>
        <w:tc>
          <w:tcPr>
            <w:tcW w:w="973" w:type="dxa"/>
          </w:tcPr>
          <w:p w14:paraId="3E387312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6" w:type="dxa"/>
          </w:tcPr>
          <w:p w14:paraId="16A34093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0" w:type="dxa"/>
          </w:tcPr>
          <w:p w14:paraId="0FF10260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31,3</w:t>
            </w:r>
          </w:p>
        </w:tc>
      </w:tr>
      <w:tr w:rsidR="00D9791A" w:rsidRPr="00065D08" w14:paraId="3D3267AA" w14:textId="77777777" w:rsidTr="00D9791A">
        <w:tc>
          <w:tcPr>
            <w:tcW w:w="1838" w:type="dxa"/>
            <w:vMerge/>
          </w:tcPr>
          <w:p w14:paraId="69A20199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07243E46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16" w:type="dxa"/>
          </w:tcPr>
          <w:p w14:paraId="1475C84B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0" w:type="dxa"/>
          </w:tcPr>
          <w:p w14:paraId="059195F4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31,3</w:t>
            </w:r>
          </w:p>
        </w:tc>
      </w:tr>
      <w:tr w:rsidR="00D9791A" w:rsidRPr="00065D08" w14:paraId="7D3E7C98" w14:textId="77777777" w:rsidTr="00D9791A">
        <w:tc>
          <w:tcPr>
            <w:tcW w:w="1838" w:type="dxa"/>
            <w:vMerge/>
          </w:tcPr>
          <w:p w14:paraId="51BFBD2C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43C927B6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16" w:type="dxa"/>
          </w:tcPr>
          <w:p w14:paraId="17054C15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0" w:type="dxa"/>
          </w:tcPr>
          <w:p w14:paraId="414488BC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6,3</w:t>
            </w:r>
          </w:p>
        </w:tc>
      </w:tr>
      <w:tr w:rsidR="00D9791A" w:rsidRPr="00065D08" w14:paraId="003860A2" w14:textId="77777777" w:rsidTr="00D9791A">
        <w:tc>
          <w:tcPr>
            <w:tcW w:w="1838" w:type="dxa"/>
            <w:vMerge/>
          </w:tcPr>
          <w:p w14:paraId="613ECD6D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415BB254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16" w:type="dxa"/>
          </w:tcPr>
          <w:p w14:paraId="75D51149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0" w:type="dxa"/>
          </w:tcPr>
          <w:p w14:paraId="0A051662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31,3</w:t>
            </w:r>
          </w:p>
        </w:tc>
      </w:tr>
      <w:tr w:rsidR="00D9791A" w:rsidRPr="00065D08" w14:paraId="6F497B95" w14:textId="77777777" w:rsidTr="00D9791A">
        <w:tc>
          <w:tcPr>
            <w:tcW w:w="1838" w:type="dxa"/>
            <w:vMerge/>
          </w:tcPr>
          <w:p w14:paraId="0DDFCEB8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5E0A0E3C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16" w:type="dxa"/>
          </w:tcPr>
          <w:p w14:paraId="42D0EE24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60" w:type="dxa"/>
          </w:tcPr>
          <w:p w14:paraId="644CBF08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D9791A" w:rsidRPr="00065D08" w14:paraId="629E6216" w14:textId="77777777" w:rsidTr="00D9791A">
        <w:tc>
          <w:tcPr>
            <w:tcW w:w="1838" w:type="dxa"/>
            <w:vMerge w:val="restart"/>
          </w:tcPr>
          <w:p w14:paraId="7116EF9F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CTX predomina</w:t>
            </w:r>
          </w:p>
        </w:tc>
        <w:tc>
          <w:tcPr>
            <w:tcW w:w="973" w:type="dxa"/>
          </w:tcPr>
          <w:p w14:paraId="17F3A791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6" w:type="dxa"/>
          </w:tcPr>
          <w:p w14:paraId="79702270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460" w:type="dxa"/>
          </w:tcPr>
          <w:p w14:paraId="5DE62ECD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38,2</w:t>
            </w:r>
          </w:p>
        </w:tc>
      </w:tr>
      <w:tr w:rsidR="00D9791A" w:rsidRPr="00065D08" w14:paraId="150FF8C7" w14:textId="77777777" w:rsidTr="00D9791A">
        <w:tc>
          <w:tcPr>
            <w:tcW w:w="1838" w:type="dxa"/>
            <w:vMerge/>
          </w:tcPr>
          <w:p w14:paraId="7125CA3E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51CCAE13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16" w:type="dxa"/>
          </w:tcPr>
          <w:p w14:paraId="343EEAFE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460" w:type="dxa"/>
          </w:tcPr>
          <w:p w14:paraId="6CC9CED0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32,4</w:t>
            </w:r>
          </w:p>
        </w:tc>
      </w:tr>
      <w:tr w:rsidR="00D9791A" w:rsidRPr="00065D08" w14:paraId="2C63020E" w14:textId="77777777" w:rsidTr="00D9791A">
        <w:tc>
          <w:tcPr>
            <w:tcW w:w="1838" w:type="dxa"/>
            <w:vMerge/>
          </w:tcPr>
          <w:p w14:paraId="20C79D79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24F0E0C2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16" w:type="dxa"/>
          </w:tcPr>
          <w:p w14:paraId="47EB35FD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60" w:type="dxa"/>
          </w:tcPr>
          <w:p w14:paraId="2582F7A3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23,5</w:t>
            </w:r>
          </w:p>
        </w:tc>
      </w:tr>
      <w:tr w:rsidR="00D9791A" w:rsidRPr="00065D08" w14:paraId="0C518DDC" w14:textId="77777777" w:rsidTr="00D9791A">
        <w:tc>
          <w:tcPr>
            <w:tcW w:w="1838" w:type="dxa"/>
            <w:vMerge/>
          </w:tcPr>
          <w:p w14:paraId="6D52A4C1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16877FDE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16" w:type="dxa"/>
          </w:tcPr>
          <w:p w14:paraId="674135F2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60" w:type="dxa"/>
          </w:tcPr>
          <w:p w14:paraId="4BBF7DFF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5,9</w:t>
            </w:r>
          </w:p>
        </w:tc>
      </w:tr>
      <w:tr w:rsidR="00D9791A" w:rsidRPr="00065D08" w14:paraId="11921981" w14:textId="77777777" w:rsidTr="00D9791A">
        <w:tc>
          <w:tcPr>
            <w:tcW w:w="1838" w:type="dxa"/>
            <w:vMerge/>
          </w:tcPr>
          <w:p w14:paraId="2FBBEBD1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575281EC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16" w:type="dxa"/>
          </w:tcPr>
          <w:p w14:paraId="134F2223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460" w:type="dxa"/>
          </w:tcPr>
          <w:p w14:paraId="5DDD65AA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D9791A" w:rsidRPr="00065D08" w14:paraId="3D5B7D8C" w14:textId="77777777" w:rsidTr="00D9791A">
        <w:tc>
          <w:tcPr>
            <w:tcW w:w="1838" w:type="dxa"/>
            <w:vMerge w:val="restart"/>
          </w:tcPr>
          <w:p w14:paraId="2CE92F2C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CTX + DOXO</w:t>
            </w:r>
          </w:p>
        </w:tc>
        <w:tc>
          <w:tcPr>
            <w:tcW w:w="973" w:type="dxa"/>
          </w:tcPr>
          <w:p w14:paraId="08C38580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6" w:type="dxa"/>
          </w:tcPr>
          <w:p w14:paraId="4FE54329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60" w:type="dxa"/>
          </w:tcPr>
          <w:p w14:paraId="294E568F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15,0</w:t>
            </w:r>
          </w:p>
        </w:tc>
      </w:tr>
      <w:tr w:rsidR="00D9791A" w:rsidRPr="00065D08" w14:paraId="6CFBB310" w14:textId="77777777" w:rsidTr="00D9791A">
        <w:tc>
          <w:tcPr>
            <w:tcW w:w="1838" w:type="dxa"/>
            <w:vMerge/>
          </w:tcPr>
          <w:p w14:paraId="79EC3647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75EB3A80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16" w:type="dxa"/>
          </w:tcPr>
          <w:p w14:paraId="5C303251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60" w:type="dxa"/>
          </w:tcPr>
          <w:p w14:paraId="400723F8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35,0</w:t>
            </w:r>
          </w:p>
        </w:tc>
      </w:tr>
      <w:tr w:rsidR="00D9791A" w:rsidRPr="00065D08" w14:paraId="2E7C674B" w14:textId="77777777" w:rsidTr="00D9791A">
        <w:tc>
          <w:tcPr>
            <w:tcW w:w="1838" w:type="dxa"/>
            <w:vMerge/>
          </w:tcPr>
          <w:p w14:paraId="0F116214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28EC5715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16" w:type="dxa"/>
          </w:tcPr>
          <w:p w14:paraId="0DD594DA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60" w:type="dxa"/>
          </w:tcPr>
          <w:p w14:paraId="55BC28F7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30,0</w:t>
            </w:r>
          </w:p>
        </w:tc>
      </w:tr>
      <w:tr w:rsidR="00D9791A" w:rsidRPr="00065D08" w14:paraId="5D893804" w14:textId="77777777" w:rsidTr="00D9791A">
        <w:tc>
          <w:tcPr>
            <w:tcW w:w="1838" w:type="dxa"/>
            <w:vMerge/>
          </w:tcPr>
          <w:p w14:paraId="759380BC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36BE99FE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16" w:type="dxa"/>
          </w:tcPr>
          <w:p w14:paraId="49267C1D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60" w:type="dxa"/>
          </w:tcPr>
          <w:p w14:paraId="64745261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</w:tr>
      <w:tr w:rsidR="00D9791A" w:rsidRPr="00065D08" w14:paraId="22A8D2A0" w14:textId="77777777" w:rsidTr="00D9791A">
        <w:tc>
          <w:tcPr>
            <w:tcW w:w="1838" w:type="dxa"/>
            <w:vMerge/>
          </w:tcPr>
          <w:p w14:paraId="7436D70E" w14:textId="77777777" w:rsidR="00D9791A" w:rsidRPr="00065D08" w:rsidRDefault="00D9791A" w:rsidP="00D9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3" w:type="dxa"/>
          </w:tcPr>
          <w:p w14:paraId="76E5199C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16" w:type="dxa"/>
          </w:tcPr>
          <w:p w14:paraId="4E147AAB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60" w:type="dxa"/>
          </w:tcPr>
          <w:p w14:paraId="02B2DBD9" w14:textId="77777777" w:rsidR="00D9791A" w:rsidRPr="00065D08" w:rsidRDefault="00D9791A" w:rsidP="00D979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D08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</w:tbl>
    <w:p w14:paraId="18F62080" w14:textId="77777777" w:rsidR="00D9791A" w:rsidRDefault="00D9791A" w:rsidP="009C35B5">
      <w:pPr>
        <w:ind w:firstLine="708"/>
        <w:jc w:val="both"/>
      </w:pPr>
    </w:p>
    <w:p w14:paraId="0E051BDC" w14:textId="77777777" w:rsidR="00065D08" w:rsidRPr="00065D08" w:rsidRDefault="00065D08" w:rsidP="00065D0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35C3589" w14:textId="77777777" w:rsidR="009C35B5" w:rsidRDefault="009C35B5" w:rsidP="009C35B5">
      <w:pPr>
        <w:ind w:firstLine="708"/>
        <w:jc w:val="both"/>
      </w:pPr>
    </w:p>
    <w:p w14:paraId="062FD8B9" w14:textId="51876D42" w:rsidR="00297CF2" w:rsidRDefault="00297CF2" w:rsidP="00297CF2">
      <w:pPr>
        <w:ind w:firstLine="708"/>
        <w:jc w:val="both"/>
      </w:pPr>
    </w:p>
    <w:p w14:paraId="15281CBC" w14:textId="7F5F9B1D" w:rsidR="00174CA8" w:rsidRDefault="00174CA8" w:rsidP="0024388C">
      <w:pPr>
        <w:ind w:firstLine="708"/>
        <w:jc w:val="both"/>
      </w:pPr>
    </w:p>
    <w:p w14:paraId="4FADF2FE" w14:textId="77777777" w:rsidR="002E5A6A" w:rsidRDefault="002E5A6A" w:rsidP="0024388C">
      <w:pPr>
        <w:ind w:firstLine="708"/>
        <w:jc w:val="both"/>
      </w:pPr>
    </w:p>
    <w:p w14:paraId="12DCE17B" w14:textId="77777777" w:rsidR="002E5A6A" w:rsidRDefault="002E5A6A" w:rsidP="0024388C">
      <w:pPr>
        <w:ind w:firstLine="708"/>
        <w:jc w:val="both"/>
      </w:pPr>
    </w:p>
    <w:p w14:paraId="54EF59F4" w14:textId="77777777" w:rsidR="002E5A6A" w:rsidRDefault="002E5A6A" w:rsidP="0024388C">
      <w:pPr>
        <w:ind w:firstLine="708"/>
        <w:jc w:val="both"/>
      </w:pPr>
    </w:p>
    <w:p w14:paraId="1F39AECC" w14:textId="77777777" w:rsidR="002E5A6A" w:rsidRDefault="002E5A6A" w:rsidP="0024388C">
      <w:pPr>
        <w:ind w:firstLine="708"/>
        <w:jc w:val="both"/>
      </w:pPr>
    </w:p>
    <w:p w14:paraId="5154C11D" w14:textId="77777777" w:rsidR="002E5A6A" w:rsidRDefault="002E5A6A" w:rsidP="0024388C">
      <w:pPr>
        <w:ind w:firstLine="708"/>
        <w:jc w:val="both"/>
      </w:pPr>
    </w:p>
    <w:p w14:paraId="6A678334" w14:textId="77777777" w:rsidR="002E5A6A" w:rsidRDefault="002E5A6A" w:rsidP="0024388C">
      <w:pPr>
        <w:ind w:firstLine="708"/>
        <w:jc w:val="both"/>
      </w:pPr>
    </w:p>
    <w:p w14:paraId="398C7D9C" w14:textId="77777777" w:rsidR="002E5A6A" w:rsidRDefault="002E5A6A" w:rsidP="0024388C">
      <w:pPr>
        <w:ind w:firstLine="708"/>
        <w:jc w:val="both"/>
      </w:pPr>
    </w:p>
    <w:p w14:paraId="021DCE89" w14:textId="77777777" w:rsidR="002E5A6A" w:rsidRDefault="002E5A6A" w:rsidP="0024388C">
      <w:pPr>
        <w:ind w:firstLine="708"/>
        <w:jc w:val="both"/>
      </w:pPr>
    </w:p>
    <w:p w14:paraId="3EB86E78" w14:textId="77777777" w:rsidR="002E5A6A" w:rsidRDefault="002E5A6A" w:rsidP="0024388C">
      <w:pPr>
        <w:ind w:firstLine="708"/>
        <w:jc w:val="both"/>
      </w:pPr>
    </w:p>
    <w:p w14:paraId="047461AC" w14:textId="77777777" w:rsidR="002E5A6A" w:rsidRDefault="002E5A6A" w:rsidP="0024388C">
      <w:pPr>
        <w:ind w:firstLine="708"/>
        <w:jc w:val="both"/>
      </w:pPr>
    </w:p>
    <w:p w14:paraId="75C8E7F0" w14:textId="77777777" w:rsidR="002E5A6A" w:rsidRDefault="002E5A6A" w:rsidP="0024388C">
      <w:pPr>
        <w:ind w:firstLine="708"/>
        <w:jc w:val="both"/>
      </w:pPr>
    </w:p>
    <w:p w14:paraId="6306940B" w14:textId="77777777" w:rsidR="002E5A6A" w:rsidRDefault="002E5A6A" w:rsidP="0024388C">
      <w:pPr>
        <w:ind w:firstLine="708"/>
        <w:jc w:val="both"/>
      </w:pPr>
    </w:p>
    <w:p w14:paraId="21B5AC81" w14:textId="77777777" w:rsidR="002E5A6A" w:rsidRDefault="002E5A6A" w:rsidP="0024388C">
      <w:pPr>
        <w:ind w:firstLine="708"/>
        <w:jc w:val="both"/>
      </w:pPr>
    </w:p>
    <w:p w14:paraId="2774F6C4" w14:textId="77777777" w:rsidR="002E5A6A" w:rsidRDefault="002E5A6A" w:rsidP="0024388C">
      <w:pPr>
        <w:ind w:firstLine="708"/>
        <w:jc w:val="both"/>
      </w:pPr>
    </w:p>
    <w:p w14:paraId="1E56F78C" w14:textId="77777777" w:rsidR="00657E2B" w:rsidRDefault="002E5A6A" w:rsidP="0024388C">
      <w:pPr>
        <w:ind w:firstLine="708"/>
        <w:jc w:val="both"/>
      </w:pPr>
      <w:r>
        <w:t xml:space="preserve">Quando categorizada, </w:t>
      </w:r>
      <w:r w:rsidR="009377A0">
        <w:t xml:space="preserve">em </w:t>
      </w:r>
      <w:r w:rsidR="009377A0">
        <w:t>75% (69)</w:t>
      </w:r>
      <w:r w:rsidR="009377A0">
        <w:t xml:space="preserve"> dos ciclos os pacientes em tratamento para linfoma</w:t>
      </w:r>
      <w:r w:rsidR="009377A0">
        <w:t xml:space="preserve"> tiveram MO</w:t>
      </w:r>
      <w:r w:rsidR="009377A0">
        <w:t>, sendo que quando observada a</w:t>
      </w:r>
      <w:r w:rsidR="001E2BAD">
        <w:t xml:space="preserve"> severidade, 14,1% (13) apresentaram MO severa</w:t>
      </w:r>
      <w:r w:rsidR="00865A78">
        <w:t xml:space="preserve"> e em</w:t>
      </w:r>
      <w:r w:rsidR="001E2BAD">
        <w:t xml:space="preserve"> </w:t>
      </w:r>
      <w:r w:rsidR="009377A0">
        <w:t xml:space="preserve">43,5% (40) ciclos </w:t>
      </w:r>
      <w:r w:rsidR="00865A78">
        <w:t>observou-se</w:t>
      </w:r>
      <w:r w:rsidR="009377A0">
        <w:t xml:space="preserve"> a MO ulcerada</w:t>
      </w:r>
      <w:r w:rsidR="00865A78">
        <w:t xml:space="preserve">. Já no tratamento para LLA, </w:t>
      </w:r>
      <w:r w:rsidR="004C68D5">
        <w:t xml:space="preserve">63,1% (190) dos ciclos desencadearam algum grau de MO, sendo </w:t>
      </w:r>
      <w:r w:rsidR="00EA5547">
        <w:t xml:space="preserve">8% (24) severa e 31,2% (94) ulcerada. </w:t>
      </w:r>
    </w:p>
    <w:p w14:paraId="52487A37" w14:textId="6F1E2732" w:rsidR="00A24C6F" w:rsidRDefault="00657E2B" w:rsidP="0024388C">
      <w:pPr>
        <w:ind w:firstLine="708"/>
        <w:jc w:val="both"/>
      </w:pPr>
      <w:r>
        <w:t xml:space="preserve">Na observação </w:t>
      </w:r>
      <w:r w:rsidR="00E67A9B">
        <w:t>a partir do protocolo realizado,</w:t>
      </w:r>
      <w:r w:rsidR="006F0BA8">
        <w:t xml:space="preserve"> durante</w:t>
      </w:r>
      <w:r w:rsidR="00E67A9B">
        <w:t xml:space="preserve"> </w:t>
      </w:r>
      <w:r w:rsidR="00A24C6F">
        <w:t xml:space="preserve">o protocolo de MTXHD </w:t>
      </w:r>
      <w:r w:rsidR="006F0BA8">
        <w:t>59,3% (35) dos ciclos desencadearam MO, sendo 3,4% (2) severa e 32,2% (19) ulcerada.</w:t>
      </w:r>
      <w:r w:rsidR="00877D76">
        <w:t xml:space="preserve"> Já em baixas doses, </w:t>
      </w:r>
      <w:r w:rsidR="00930A71">
        <w:t xml:space="preserve">a MO foi observada </w:t>
      </w:r>
      <w:r w:rsidR="00930A71" w:rsidRPr="00750DAD">
        <w:t>em 74%</w:t>
      </w:r>
      <w:r w:rsidR="00930A71">
        <w:t xml:space="preserve"> (37) dos ciclos, onde 6% (3) foram severas e 32% (16) ulceradas. </w:t>
      </w:r>
    </w:p>
    <w:p w14:paraId="5FCCFFD9" w14:textId="12DECADE" w:rsidR="006F0BA8" w:rsidRDefault="006F0BA8" w:rsidP="0024388C">
      <w:pPr>
        <w:ind w:firstLine="708"/>
        <w:jc w:val="both"/>
      </w:pPr>
      <w:r>
        <w:t>O tratamento realizado com a predominância de DOXO</w:t>
      </w:r>
      <w:r w:rsidR="00947DD0">
        <w:t xml:space="preserve"> foi observad</w:t>
      </w:r>
      <w:r w:rsidR="00960488">
        <w:t xml:space="preserve">a MO em 59,7% (80) dos pacientes, sendo apenas 3% (4) severa e </w:t>
      </w:r>
      <w:r w:rsidR="00093399">
        <w:t xml:space="preserve">23,7% (32) ulcerada. </w:t>
      </w:r>
      <w:r w:rsidR="004E4FEA">
        <w:t>Na predominância de CTX, MO foi observada em 6</w:t>
      </w:r>
      <w:r w:rsidR="00851266">
        <w:t>1</w:t>
      </w:r>
      <w:r w:rsidR="004E4FEA">
        <w:t xml:space="preserve">,8% (11) dos ciclos, </w:t>
      </w:r>
      <w:r w:rsidR="00224AB1" w:rsidRPr="00C16833">
        <w:rPr>
          <w:highlight w:val="yellow"/>
        </w:rPr>
        <w:t>31,3%</w:t>
      </w:r>
      <w:r w:rsidR="00224AB1">
        <w:t xml:space="preserve"> (5) dos ciclos ela foi severa e em 37,5% (6) </w:t>
      </w:r>
      <w:r w:rsidR="00B975C4">
        <w:t xml:space="preserve">ulcerada. </w:t>
      </w:r>
    </w:p>
    <w:p w14:paraId="16D0B1E9" w14:textId="2E985D47" w:rsidR="002E5A6A" w:rsidRDefault="00F362DA" w:rsidP="0024388C">
      <w:pPr>
        <w:ind w:firstLine="708"/>
        <w:jc w:val="both"/>
      </w:pPr>
      <w:r>
        <w:t>Na</w:t>
      </w:r>
      <w:r w:rsidR="00093399">
        <w:t xml:space="preserve"> associação de MTX+CTX+DOXO</w:t>
      </w:r>
      <w:r>
        <w:t xml:space="preserve"> a MO foi observada e </w:t>
      </w:r>
      <w:r w:rsidRPr="00750DAD">
        <w:rPr>
          <w:highlight w:val="green"/>
        </w:rPr>
        <w:t>82,2%</w:t>
      </w:r>
      <w:r>
        <w:t xml:space="preserve"> dos ciclos, </w:t>
      </w:r>
      <w:r w:rsidRPr="00C16833">
        <w:rPr>
          <w:highlight w:val="yellow"/>
        </w:rPr>
        <w:t>31,1%</w:t>
      </w:r>
      <w:r>
        <w:t xml:space="preserve"> </w:t>
      </w:r>
      <w:r w:rsidR="00877D76">
        <w:t>(14) severa e 68,9% (31) ulcerada.</w:t>
      </w:r>
      <w:r w:rsidR="00093399">
        <w:t xml:space="preserve"> </w:t>
      </w:r>
      <w:r w:rsidR="00877D76">
        <w:t>O</w:t>
      </w:r>
      <w:r w:rsidR="00E67A9B">
        <w:t xml:space="preserve"> protocolo de CTX+DOXO </w:t>
      </w:r>
      <w:r w:rsidR="00F07748">
        <w:t xml:space="preserve">desencadeou MO em </w:t>
      </w:r>
      <w:r w:rsidR="00F07748" w:rsidRPr="00750DAD">
        <w:rPr>
          <w:highlight w:val="green"/>
        </w:rPr>
        <w:t>85%</w:t>
      </w:r>
      <w:r w:rsidR="00F07748">
        <w:t xml:space="preserve"> (17) dos ciclos, sendo 20% (4) severa e </w:t>
      </w:r>
      <w:r w:rsidR="00A24C6F">
        <w:t xml:space="preserve">50% (10) ulcerada. </w:t>
      </w:r>
      <w:r w:rsidR="000169EF">
        <w:t xml:space="preserve">Outra associação, de MTX+CTX, pareceu desencadear </w:t>
      </w:r>
      <w:r w:rsidR="002F140A">
        <w:t xml:space="preserve">MO em 68,8% (11) dos ciclos, </w:t>
      </w:r>
      <w:r w:rsidR="00A9727A" w:rsidRPr="00C16833">
        <w:rPr>
          <w:highlight w:val="yellow"/>
        </w:rPr>
        <w:t>31,3%</w:t>
      </w:r>
      <w:r w:rsidR="00A9727A">
        <w:t xml:space="preserve"> (5) severa e 37,5% (6) ulcerada. </w:t>
      </w:r>
    </w:p>
    <w:p w14:paraId="74AB57B7" w14:textId="6DB8AF04" w:rsidR="005F7A10" w:rsidRDefault="005F7A10" w:rsidP="0024388C">
      <w:pPr>
        <w:ind w:firstLine="708"/>
        <w:jc w:val="both"/>
      </w:pPr>
      <w:r>
        <w:lastRenderedPageBreak/>
        <w:t>Houve associação entre os protocolos quimioterápicos e a severidade (0,018)</w:t>
      </w:r>
      <w:r w:rsidR="00431AB4">
        <w:t xml:space="preserve">, não houve associação com presença e ulceração. </w:t>
      </w:r>
      <w:r w:rsidR="0061266C">
        <w:t>(</w:t>
      </w:r>
      <w:proofErr w:type="spellStart"/>
      <w:r w:rsidR="0061266C">
        <w:t>qui</w:t>
      </w:r>
      <w:proofErr w:type="spellEnd"/>
      <w:r w:rsidR="0061266C">
        <w:t>-quadrado)</w:t>
      </w:r>
    </w:p>
    <w:p w14:paraId="0151F99E" w14:textId="019A53E8" w:rsidR="0061266C" w:rsidRDefault="0061266C" w:rsidP="0024388C">
      <w:pPr>
        <w:ind w:firstLine="708"/>
        <w:jc w:val="both"/>
      </w:pPr>
      <w:r>
        <w:t xml:space="preserve">Na regressão binária, a associação MTX+CTX+DOXO </w:t>
      </w:r>
      <w:r w:rsidR="00C654E0">
        <w:t>representou</w:t>
      </w:r>
      <w:r>
        <w:t xml:space="preserve"> um risco aumentado de 12,8 vezes para o desenvolvimento de MO severa comparada a MTXHD</w:t>
      </w:r>
      <w:r w:rsidR="00100F3F">
        <w:t xml:space="preserve"> (p=0,001), O MTX+CTX 12,9 vezes mai</w:t>
      </w:r>
      <w:r w:rsidR="00FD46C3">
        <w:t>or prevalência de MO severa quando comparada a MTXHD (p=0,004)</w:t>
      </w:r>
      <w:r w:rsidR="00D879C7">
        <w:t xml:space="preserve"> e CTX+DOXO 7,12 maior prevalência de MO severa quando comparada com o MTXHD (p=</w:t>
      </w:r>
      <w:r w:rsidR="00323690">
        <w:t>0,031)</w:t>
      </w:r>
      <w:r w:rsidR="00D879C7">
        <w:t xml:space="preserve">. </w:t>
      </w:r>
      <w:r w:rsidR="00386B13">
        <w:t>Não houve associação estatisticamente significativa dos demais protocolos.</w:t>
      </w:r>
    </w:p>
    <w:p w14:paraId="7B4C3E2C" w14:textId="0564AD97" w:rsidR="005C4AF4" w:rsidRDefault="006555EA" w:rsidP="0024388C">
      <w:pPr>
        <w:ind w:firstLine="708"/>
        <w:jc w:val="both"/>
      </w:pPr>
      <w:r>
        <w:t>A a</w:t>
      </w:r>
      <w:r w:rsidR="00B25037">
        <w:t xml:space="preserve">ssociação MTX+CTX+DOXO apresentou uma prevalência </w:t>
      </w:r>
      <w:r w:rsidR="001F02A1">
        <w:t>4,66 vezes maior</w:t>
      </w:r>
      <w:r>
        <w:t xml:space="preserve"> de MO ulcerada </w:t>
      </w:r>
      <w:r>
        <w:t>(p=0,000)</w:t>
      </w:r>
      <w:r>
        <w:t xml:space="preserve"> e também de 3,17 da presença de MO (p=</w:t>
      </w:r>
      <w:r w:rsidR="001E0A51">
        <w:t>0,014)</w:t>
      </w:r>
      <w:r w:rsidR="001F02A1">
        <w:t xml:space="preserve"> quando comparada ao MTXHD.</w:t>
      </w:r>
      <w:r w:rsidR="001E0A51">
        <w:t xml:space="preserve"> Da mesma forma, CTX+DOXO também apresentou </w:t>
      </w:r>
      <w:r w:rsidR="00386B13">
        <w:t xml:space="preserve">3,88 vezes maior prevalência quanto a presença de MO quando comparada ao MTXHD (p=0,046). </w:t>
      </w:r>
      <w:r w:rsidR="00386B13">
        <w:t>Não houve associação estatisticamente significativa dos demais protocolos.</w:t>
      </w:r>
    </w:p>
    <w:p w14:paraId="2C811ABB" w14:textId="5DF21186" w:rsidR="006545BF" w:rsidRDefault="006545BF" w:rsidP="006545BF">
      <w:pPr>
        <w:autoSpaceDE w:val="0"/>
        <w:autoSpaceDN w:val="0"/>
        <w:adjustRightInd w:val="0"/>
        <w:spacing w:after="0" w:line="400" w:lineRule="atLeast"/>
      </w:pPr>
    </w:p>
    <w:p w14:paraId="5AEAFB1C" w14:textId="77777777" w:rsidR="00644C39" w:rsidRDefault="00644C39" w:rsidP="006545B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1A8772F" w14:textId="77777777" w:rsidR="006545BF" w:rsidRDefault="006545BF" w:rsidP="0024388C">
      <w:pPr>
        <w:ind w:firstLine="708"/>
        <w:jc w:val="both"/>
      </w:pPr>
    </w:p>
    <w:sectPr w:rsidR="00654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66AB7" w14:textId="77777777" w:rsidR="00DA0D70" w:rsidRDefault="00DA0D70" w:rsidP="00D932EA">
      <w:pPr>
        <w:spacing w:after="0" w:line="240" w:lineRule="auto"/>
      </w:pPr>
      <w:r>
        <w:separator/>
      </w:r>
    </w:p>
  </w:endnote>
  <w:endnote w:type="continuationSeparator" w:id="0">
    <w:p w14:paraId="421791A1" w14:textId="77777777" w:rsidR="00DA0D70" w:rsidRDefault="00DA0D70" w:rsidP="00D93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9837E" w14:textId="77777777" w:rsidR="00DA0D70" w:rsidRDefault="00DA0D70" w:rsidP="00D932EA">
      <w:pPr>
        <w:spacing w:after="0" w:line="240" w:lineRule="auto"/>
      </w:pPr>
      <w:r>
        <w:separator/>
      </w:r>
    </w:p>
  </w:footnote>
  <w:footnote w:type="continuationSeparator" w:id="0">
    <w:p w14:paraId="310C6F53" w14:textId="77777777" w:rsidR="00DA0D70" w:rsidRDefault="00DA0D70" w:rsidP="00D932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52"/>
    <w:rsid w:val="000169EF"/>
    <w:rsid w:val="00025A11"/>
    <w:rsid w:val="00026E52"/>
    <w:rsid w:val="00031EB1"/>
    <w:rsid w:val="00065D08"/>
    <w:rsid w:val="00073F4F"/>
    <w:rsid w:val="00093399"/>
    <w:rsid w:val="000A6C47"/>
    <w:rsid w:val="000C671C"/>
    <w:rsid w:val="000E3879"/>
    <w:rsid w:val="000F2D88"/>
    <w:rsid w:val="00100F3F"/>
    <w:rsid w:val="00174CA8"/>
    <w:rsid w:val="001E0A51"/>
    <w:rsid w:val="001E2BAD"/>
    <w:rsid w:val="001F02A1"/>
    <w:rsid w:val="00224AB1"/>
    <w:rsid w:val="0024388C"/>
    <w:rsid w:val="00297CF2"/>
    <w:rsid w:val="002B5024"/>
    <w:rsid w:val="002C31FF"/>
    <w:rsid w:val="002E5A6A"/>
    <w:rsid w:val="002E6CE7"/>
    <w:rsid w:val="002F140A"/>
    <w:rsid w:val="00306186"/>
    <w:rsid w:val="00323690"/>
    <w:rsid w:val="00381A1A"/>
    <w:rsid w:val="00386B13"/>
    <w:rsid w:val="004012CB"/>
    <w:rsid w:val="00431AB4"/>
    <w:rsid w:val="00450E69"/>
    <w:rsid w:val="00482373"/>
    <w:rsid w:val="00487615"/>
    <w:rsid w:val="004B59A6"/>
    <w:rsid w:val="004C68D5"/>
    <w:rsid w:val="004E4FEA"/>
    <w:rsid w:val="00512B2C"/>
    <w:rsid w:val="00547996"/>
    <w:rsid w:val="00570134"/>
    <w:rsid w:val="00570429"/>
    <w:rsid w:val="005C4AF4"/>
    <w:rsid w:val="005C76C0"/>
    <w:rsid w:val="005F7A10"/>
    <w:rsid w:val="0061266C"/>
    <w:rsid w:val="00635CC4"/>
    <w:rsid w:val="00640B2C"/>
    <w:rsid w:val="00644C39"/>
    <w:rsid w:val="006545BF"/>
    <w:rsid w:val="006555EA"/>
    <w:rsid w:val="00657E2B"/>
    <w:rsid w:val="006D0DDB"/>
    <w:rsid w:val="006F0BA8"/>
    <w:rsid w:val="006F0E54"/>
    <w:rsid w:val="007378B0"/>
    <w:rsid w:val="00750DAD"/>
    <w:rsid w:val="007607E9"/>
    <w:rsid w:val="008030A2"/>
    <w:rsid w:val="008073C6"/>
    <w:rsid w:val="00851266"/>
    <w:rsid w:val="00865A78"/>
    <w:rsid w:val="0087498A"/>
    <w:rsid w:val="00877D76"/>
    <w:rsid w:val="009224ED"/>
    <w:rsid w:val="00926F03"/>
    <w:rsid w:val="00930A71"/>
    <w:rsid w:val="009377A0"/>
    <w:rsid w:val="00947DD0"/>
    <w:rsid w:val="00960488"/>
    <w:rsid w:val="009B1736"/>
    <w:rsid w:val="009C35B5"/>
    <w:rsid w:val="00A0328C"/>
    <w:rsid w:val="00A24C6F"/>
    <w:rsid w:val="00A64F0B"/>
    <w:rsid w:val="00A72523"/>
    <w:rsid w:val="00A9727A"/>
    <w:rsid w:val="00AF4A7E"/>
    <w:rsid w:val="00B25037"/>
    <w:rsid w:val="00B529CB"/>
    <w:rsid w:val="00B975C4"/>
    <w:rsid w:val="00C16833"/>
    <w:rsid w:val="00C654E0"/>
    <w:rsid w:val="00C70F04"/>
    <w:rsid w:val="00D00557"/>
    <w:rsid w:val="00D459C8"/>
    <w:rsid w:val="00D51F2C"/>
    <w:rsid w:val="00D6313B"/>
    <w:rsid w:val="00D70360"/>
    <w:rsid w:val="00D879C7"/>
    <w:rsid w:val="00D932EA"/>
    <w:rsid w:val="00D9791A"/>
    <w:rsid w:val="00DA0D70"/>
    <w:rsid w:val="00E55BDA"/>
    <w:rsid w:val="00E67A9B"/>
    <w:rsid w:val="00EA5547"/>
    <w:rsid w:val="00EC6944"/>
    <w:rsid w:val="00F07748"/>
    <w:rsid w:val="00F210DD"/>
    <w:rsid w:val="00F362DA"/>
    <w:rsid w:val="00F61492"/>
    <w:rsid w:val="00FB0D76"/>
    <w:rsid w:val="00FD46C3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5CE5"/>
  <w15:chartTrackingRefBased/>
  <w15:docId w15:val="{1FFF666C-E294-4D80-84A6-524B5BFA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3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2EA"/>
  </w:style>
  <w:style w:type="paragraph" w:styleId="Rodap">
    <w:name w:val="footer"/>
    <w:basedOn w:val="Normal"/>
    <w:link w:val="RodapChar"/>
    <w:uiPriority w:val="99"/>
    <w:unhideWhenUsed/>
    <w:rsid w:val="00D93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2EA"/>
  </w:style>
  <w:style w:type="table" w:styleId="Tabelacomgrade">
    <w:name w:val="Table Grid"/>
    <w:basedOn w:val="Tabelanormal"/>
    <w:uiPriority w:val="39"/>
    <w:rsid w:val="00065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1215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Luísa Jardim</dc:creator>
  <cp:keywords/>
  <dc:description/>
  <cp:lastModifiedBy>Luísa Jardim</cp:lastModifiedBy>
  <cp:revision>47</cp:revision>
  <dcterms:created xsi:type="dcterms:W3CDTF">2022-05-19T15:48:00Z</dcterms:created>
  <dcterms:modified xsi:type="dcterms:W3CDTF">2022-05-19T17:12:00Z</dcterms:modified>
</cp:coreProperties>
</file>