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FA1E" w14:textId="77777777" w:rsidR="00D7748D" w:rsidRDefault="00D7748D" w:rsidP="00C07064">
      <w:pPr>
        <w:snapToGrid w:val="0"/>
        <w:spacing w:after="540"/>
        <w:contextualSpacing/>
      </w:pPr>
    </w:p>
    <w:p w14:paraId="6BFC060E" w14:textId="77777777" w:rsidR="00D7748D" w:rsidRDefault="00D7748D" w:rsidP="00C07064">
      <w:pPr>
        <w:snapToGrid w:val="0"/>
        <w:spacing w:after="540"/>
        <w:contextualSpacing/>
      </w:pPr>
    </w:p>
    <w:p w14:paraId="7E4B6E10" w14:textId="77777777" w:rsidR="00D7748D" w:rsidRDefault="00D7748D" w:rsidP="00C07064">
      <w:pPr>
        <w:snapToGrid w:val="0"/>
        <w:spacing w:after="540"/>
        <w:contextualSpacing/>
      </w:pPr>
    </w:p>
    <w:p w14:paraId="2447367B" w14:textId="77777777" w:rsidR="00D7748D" w:rsidRDefault="00D7748D" w:rsidP="00C07064">
      <w:pPr>
        <w:snapToGrid w:val="0"/>
        <w:spacing w:after="540"/>
        <w:contextualSpacing/>
      </w:pPr>
    </w:p>
    <w:p w14:paraId="6FCDB8B1" w14:textId="77777777" w:rsidR="00D7748D" w:rsidRDefault="00D7748D" w:rsidP="00C07064">
      <w:pPr>
        <w:snapToGrid w:val="0"/>
        <w:spacing w:after="540"/>
        <w:contextualSpacing/>
      </w:pPr>
    </w:p>
    <w:p w14:paraId="42FD633D" w14:textId="77777777" w:rsidR="00D7748D" w:rsidRPr="00D7748D" w:rsidRDefault="00D7748D" w:rsidP="00D7748D">
      <w:pPr>
        <w:snapToGrid w:val="0"/>
        <w:spacing w:after="540" w:line="480" w:lineRule="auto"/>
        <w:contextualSpacing/>
        <w:rPr>
          <w:b/>
          <w:bCs/>
        </w:rPr>
      </w:pPr>
    </w:p>
    <w:p w14:paraId="634E9FBE" w14:textId="77777777" w:rsidR="00D7748D" w:rsidRDefault="00D7748D" w:rsidP="00D7748D">
      <w:pPr>
        <w:snapToGrid w:val="0"/>
        <w:spacing w:after="540" w:line="480" w:lineRule="auto"/>
        <w:contextualSpacing/>
        <w:rPr>
          <w:b/>
          <w:bCs/>
        </w:rPr>
      </w:pPr>
    </w:p>
    <w:p w14:paraId="403D565A" w14:textId="0E07FBAC" w:rsidR="00D7748D" w:rsidRDefault="00D7748D" w:rsidP="00D7748D">
      <w:pPr>
        <w:snapToGrid w:val="0"/>
        <w:spacing w:after="540" w:line="480" w:lineRule="auto"/>
        <w:contextualSpacing/>
        <w:jc w:val="center"/>
        <w:rPr>
          <w:b/>
          <w:bCs/>
        </w:rPr>
      </w:pPr>
      <w:r>
        <w:rPr>
          <w:b/>
          <w:bCs/>
        </w:rPr>
        <w:t xml:space="preserve">Assignment 1: </w:t>
      </w:r>
      <w:r w:rsidRPr="00D7748D">
        <w:rPr>
          <w:b/>
          <w:bCs/>
        </w:rPr>
        <w:t xml:space="preserve">Database </w:t>
      </w:r>
      <w:r>
        <w:rPr>
          <w:b/>
          <w:bCs/>
        </w:rPr>
        <w:t>M</w:t>
      </w:r>
      <w:r w:rsidRPr="00D7748D">
        <w:rPr>
          <w:b/>
          <w:bCs/>
        </w:rPr>
        <w:t xml:space="preserve">anagement and </w:t>
      </w:r>
      <w:r>
        <w:rPr>
          <w:b/>
          <w:bCs/>
        </w:rPr>
        <w:t>S</w:t>
      </w:r>
      <w:r w:rsidRPr="00D7748D">
        <w:rPr>
          <w:b/>
          <w:bCs/>
        </w:rPr>
        <w:t xml:space="preserve">ample </w:t>
      </w:r>
      <w:r>
        <w:rPr>
          <w:b/>
          <w:bCs/>
        </w:rPr>
        <w:t>S</w:t>
      </w:r>
      <w:r w:rsidRPr="00D7748D">
        <w:rPr>
          <w:b/>
          <w:bCs/>
        </w:rPr>
        <w:t xml:space="preserve">ize </w:t>
      </w:r>
      <w:r>
        <w:rPr>
          <w:b/>
          <w:bCs/>
        </w:rPr>
        <w:t>E</w:t>
      </w:r>
      <w:r w:rsidRPr="00D7748D">
        <w:rPr>
          <w:b/>
          <w:bCs/>
        </w:rPr>
        <w:t>stimation</w:t>
      </w:r>
    </w:p>
    <w:p w14:paraId="4309F379" w14:textId="77777777" w:rsidR="00D7748D" w:rsidRDefault="00D7748D" w:rsidP="00D7748D">
      <w:pPr>
        <w:snapToGrid w:val="0"/>
        <w:spacing w:after="540" w:line="480" w:lineRule="auto"/>
        <w:contextualSpacing/>
        <w:jc w:val="center"/>
        <w:rPr>
          <w:b/>
          <w:bCs/>
        </w:rPr>
      </w:pPr>
    </w:p>
    <w:p w14:paraId="53FFBF25" w14:textId="77777777" w:rsidR="00D7748D" w:rsidRDefault="00D7748D" w:rsidP="00D7748D">
      <w:pPr>
        <w:snapToGrid w:val="0"/>
        <w:spacing w:after="540" w:line="480" w:lineRule="auto"/>
        <w:contextualSpacing/>
        <w:jc w:val="center"/>
        <w:rPr>
          <w:b/>
          <w:bCs/>
        </w:rPr>
      </w:pPr>
    </w:p>
    <w:p w14:paraId="749F1545" w14:textId="77777777" w:rsidR="00D7748D" w:rsidRDefault="00D7748D" w:rsidP="00D7748D">
      <w:pPr>
        <w:snapToGrid w:val="0"/>
        <w:spacing w:after="540" w:line="480" w:lineRule="auto"/>
        <w:contextualSpacing/>
        <w:jc w:val="center"/>
        <w:rPr>
          <w:b/>
          <w:bCs/>
        </w:rPr>
      </w:pPr>
    </w:p>
    <w:p w14:paraId="13F62E15" w14:textId="707B49E2" w:rsidR="00D7748D" w:rsidRDefault="00D7748D" w:rsidP="00D7748D">
      <w:pPr>
        <w:snapToGrid w:val="0"/>
        <w:spacing w:after="540" w:line="480" w:lineRule="auto"/>
        <w:contextualSpacing/>
        <w:jc w:val="center"/>
      </w:pPr>
      <w:r w:rsidRPr="00D7748D">
        <w:t>Mikaela Ethier-Gagnon</w:t>
      </w:r>
    </w:p>
    <w:p w14:paraId="38F3250E" w14:textId="4C560BBE" w:rsidR="00D7748D" w:rsidRDefault="00D7748D" w:rsidP="00D7748D">
      <w:pPr>
        <w:snapToGrid w:val="0"/>
        <w:spacing w:after="540" w:line="480" w:lineRule="auto"/>
        <w:contextualSpacing/>
        <w:jc w:val="center"/>
      </w:pPr>
      <w:r>
        <w:t>Department of Psychiatry, Dalhousie University</w:t>
      </w:r>
    </w:p>
    <w:p w14:paraId="454F855D" w14:textId="4465D82E" w:rsidR="00D7748D" w:rsidRDefault="00D7748D" w:rsidP="00D7748D">
      <w:pPr>
        <w:snapToGrid w:val="0"/>
        <w:spacing w:after="540" w:line="480" w:lineRule="auto"/>
        <w:contextualSpacing/>
        <w:jc w:val="center"/>
      </w:pPr>
      <w:r>
        <w:t>PSYR6003: Fundamentals of Applied Statistics</w:t>
      </w:r>
    </w:p>
    <w:p w14:paraId="6AE25D0D" w14:textId="416A9A3A" w:rsidR="00D7748D" w:rsidRDefault="00D7748D" w:rsidP="00D7748D">
      <w:pPr>
        <w:snapToGrid w:val="0"/>
        <w:spacing w:after="540" w:line="480" w:lineRule="auto"/>
        <w:contextualSpacing/>
        <w:jc w:val="center"/>
      </w:pPr>
      <w:r>
        <w:t>Dr. Igor Yakovenko</w:t>
      </w:r>
    </w:p>
    <w:p w14:paraId="453826E4" w14:textId="3A6EA2DC" w:rsidR="00D7748D" w:rsidRDefault="00D7748D" w:rsidP="00D7748D">
      <w:pPr>
        <w:snapToGrid w:val="0"/>
        <w:spacing w:after="540" w:line="480" w:lineRule="auto"/>
        <w:contextualSpacing/>
        <w:jc w:val="center"/>
      </w:pPr>
      <w:r>
        <w:t>March 6</w:t>
      </w:r>
      <w:r w:rsidRPr="00D7748D">
        <w:rPr>
          <w:vertAlign w:val="superscript"/>
        </w:rPr>
        <w:t>th</w:t>
      </w:r>
      <w:r>
        <w:t>, 2024</w:t>
      </w:r>
    </w:p>
    <w:p w14:paraId="05B753D2" w14:textId="77777777" w:rsidR="00D7748D" w:rsidRPr="00D7748D" w:rsidRDefault="00D7748D" w:rsidP="00C07064">
      <w:pPr>
        <w:snapToGrid w:val="0"/>
        <w:spacing w:after="540"/>
        <w:contextualSpacing/>
      </w:pPr>
    </w:p>
    <w:p w14:paraId="7FA870CB" w14:textId="77777777" w:rsidR="00D7748D" w:rsidRDefault="00D7748D" w:rsidP="00C07064">
      <w:pPr>
        <w:snapToGrid w:val="0"/>
        <w:spacing w:after="540"/>
        <w:contextualSpacing/>
        <w:rPr>
          <w:b/>
          <w:bCs/>
        </w:rPr>
      </w:pPr>
    </w:p>
    <w:p w14:paraId="0F002B1A" w14:textId="77777777" w:rsidR="00D7748D" w:rsidRDefault="00D7748D" w:rsidP="00C07064">
      <w:pPr>
        <w:snapToGrid w:val="0"/>
        <w:spacing w:after="540"/>
        <w:contextualSpacing/>
        <w:rPr>
          <w:b/>
          <w:bCs/>
        </w:rPr>
      </w:pPr>
    </w:p>
    <w:p w14:paraId="619436D2" w14:textId="77777777" w:rsidR="00D7748D" w:rsidRPr="00D7748D" w:rsidRDefault="00D7748D" w:rsidP="00C07064">
      <w:pPr>
        <w:snapToGrid w:val="0"/>
        <w:spacing w:after="540"/>
        <w:contextualSpacing/>
        <w:rPr>
          <w:b/>
          <w:bCs/>
        </w:rPr>
      </w:pPr>
    </w:p>
    <w:p w14:paraId="3C06A102" w14:textId="77777777" w:rsidR="00D7748D" w:rsidRDefault="00D7748D" w:rsidP="00C07064">
      <w:pPr>
        <w:snapToGrid w:val="0"/>
        <w:spacing w:after="540"/>
        <w:contextualSpacing/>
      </w:pPr>
    </w:p>
    <w:p w14:paraId="04EA0285" w14:textId="77777777" w:rsidR="00D7748D" w:rsidRDefault="00D7748D" w:rsidP="00C07064">
      <w:pPr>
        <w:snapToGrid w:val="0"/>
        <w:spacing w:after="540"/>
        <w:contextualSpacing/>
      </w:pPr>
    </w:p>
    <w:p w14:paraId="6A6C3490" w14:textId="77777777" w:rsidR="00D7748D" w:rsidRDefault="00D7748D" w:rsidP="00C07064">
      <w:pPr>
        <w:snapToGrid w:val="0"/>
        <w:spacing w:after="540"/>
        <w:contextualSpacing/>
      </w:pPr>
    </w:p>
    <w:p w14:paraId="5499E1CA" w14:textId="77777777" w:rsidR="00D7748D" w:rsidRDefault="00D7748D" w:rsidP="00C07064">
      <w:pPr>
        <w:snapToGrid w:val="0"/>
        <w:spacing w:after="540"/>
        <w:contextualSpacing/>
      </w:pPr>
    </w:p>
    <w:p w14:paraId="49AC8CD5" w14:textId="77777777" w:rsidR="00D7748D" w:rsidRDefault="00D7748D" w:rsidP="00C07064">
      <w:pPr>
        <w:snapToGrid w:val="0"/>
        <w:spacing w:after="540"/>
        <w:contextualSpacing/>
      </w:pPr>
    </w:p>
    <w:p w14:paraId="500ACBE7" w14:textId="77777777" w:rsidR="00D7748D" w:rsidRDefault="00D7748D" w:rsidP="00C07064">
      <w:pPr>
        <w:snapToGrid w:val="0"/>
        <w:spacing w:after="540"/>
        <w:contextualSpacing/>
      </w:pPr>
    </w:p>
    <w:p w14:paraId="4CE33CB7" w14:textId="77777777" w:rsidR="00D7748D" w:rsidRDefault="00D7748D" w:rsidP="00C07064">
      <w:pPr>
        <w:snapToGrid w:val="0"/>
        <w:spacing w:after="540"/>
        <w:contextualSpacing/>
      </w:pPr>
    </w:p>
    <w:p w14:paraId="5B9205E7" w14:textId="77777777" w:rsidR="00D7748D" w:rsidRDefault="00D7748D" w:rsidP="00C07064">
      <w:pPr>
        <w:snapToGrid w:val="0"/>
        <w:spacing w:after="540"/>
        <w:contextualSpacing/>
      </w:pPr>
    </w:p>
    <w:p w14:paraId="79E118AC" w14:textId="77777777" w:rsidR="00D7748D" w:rsidRDefault="00D7748D" w:rsidP="00C07064">
      <w:pPr>
        <w:snapToGrid w:val="0"/>
        <w:spacing w:after="540"/>
        <w:contextualSpacing/>
      </w:pPr>
    </w:p>
    <w:p w14:paraId="036DE82B" w14:textId="77777777" w:rsidR="00D7748D" w:rsidRDefault="00D7748D" w:rsidP="00C07064">
      <w:pPr>
        <w:snapToGrid w:val="0"/>
        <w:spacing w:after="540"/>
        <w:contextualSpacing/>
      </w:pPr>
    </w:p>
    <w:p w14:paraId="37B13743" w14:textId="77777777" w:rsidR="00D7748D" w:rsidRDefault="00D7748D" w:rsidP="00C07064">
      <w:pPr>
        <w:snapToGrid w:val="0"/>
        <w:spacing w:after="540"/>
        <w:contextualSpacing/>
      </w:pPr>
    </w:p>
    <w:p w14:paraId="6ED6B215" w14:textId="77777777" w:rsidR="00D7748D" w:rsidRDefault="00D7748D" w:rsidP="00C07064">
      <w:pPr>
        <w:snapToGrid w:val="0"/>
        <w:spacing w:after="540"/>
        <w:contextualSpacing/>
      </w:pPr>
    </w:p>
    <w:p w14:paraId="7E467B60" w14:textId="77777777" w:rsidR="00D7748D" w:rsidRDefault="00D7748D" w:rsidP="00C07064">
      <w:pPr>
        <w:snapToGrid w:val="0"/>
        <w:spacing w:after="540"/>
        <w:contextualSpacing/>
      </w:pPr>
    </w:p>
    <w:p w14:paraId="793BEB07" w14:textId="77777777" w:rsidR="00D7748D" w:rsidRDefault="00D7748D" w:rsidP="00C07064">
      <w:pPr>
        <w:snapToGrid w:val="0"/>
        <w:spacing w:after="540"/>
        <w:contextualSpacing/>
      </w:pPr>
    </w:p>
    <w:p w14:paraId="3898411B" w14:textId="77777777" w:rsidR="00D7748D" w:rsidRDefault="00D7748D" w:rsidP="00C07064">
      <w:pPr>
        <w:snapToGrid w:val="0"/>
        <w:spacing w:after="540"/>
        <w:contextualSpacing/>
      </w:pPr>
    </w:p>
    <w:p w14:paraId="1025058C" w14:textId="77777777" w:rsidR="00D7748D" w:rsidRDefault="00D7748D" w:rsidP="00D7748D">
      <w:pPr>
        <w:snapToGrid w:val="0"/>
        <w:spacing w:after="540" w:line="480" w:lineRule="auto"/>
        <w:contextualSpacing/>
        <w:jc w:val="center"/>
        <w:rPr>
          <w:b/>
          <w:bCs/>
        </w:rPr>
      </w:pPr>
      <w:r>
        <w:rPr>
          <w:b/>
          <w:bCs/>
        </w:rPr>
        <w:lastRenderedPageBreak/>
        <w:t xml:space="preserve">Assignment 1: </w:t>
      </w:r>
      <w:r w:rsidRPr="00D7748D">
        <w:rPr>
          <w:b/>
          <w:bCs/>
        </w:rPr>
        <w:t xml:space="preserve">Database </w:t>
      </w:r>
      <w:r>
        <w:rPr>
          <w:b/>
          <w:bCs/>
        </w:rPr>
        <w:t>M</w:t>
      </w:r>
      <w:r w:rsidRPr="00D7748D">
        <w:rPr>
          <w:b/>
          <w:bCs/>
        </w:rPr>
        <w:t xml:space="preserve">anagement and </w:t>
      </w:r>
      <w:r>
        <w:rPr>
          <w:b/>
          <w:bCs/>
        </w:rPr>
        <w:t>S</w:t>
      </w:r>
      <w:r w:rsidRPr="00D7748D">
        <w:rPr>
          <w:b/>
          <w:bCs/>
        </w:rPr>
        <w:t xml:space="preserve">ample </w:t>
      </w:r>
      <w:r>
        <w:rPr>
          <w:b/>
          <w:bCs/>
        </w:rPr>
        <w:t>S</w:t>
      </w:r>
      <w:r w:rsidRPr="00D7748D">
        <w:rPr>
          <w:b/>
          <w:bCs/>
        </w:rPr>
        <w:t xml:space="preserve">ize </w:t>
      </w:r>
      <w:r>
        <w:rPr>
          <w:b/>
          <w:bCs/>
        </w:rPr>
        <w:t>E</w:t>
      </w:r>
      <w:r w:rsidRPr="00D7748D">
        <w:rPr>
          <w:b/>
          <w:bCs/>
        </w:rPr>
        <w:t>stimation</w:t>
      </w:r>
    </w:p>
    <w:p w14:paraId="56E0E790" w14:textId="69AC2A5E" w:rsidR="00C07064" w:rsidRDefault="00CB74A1" w:rsidP="00D7748D">
      <w:pPr>
        <w:snapToGrid w:val="0"/>
        <w:spacing w:after="540" w:line="480" w:lineRule="auto"/>
        <w:ind w:firstLine="720"/>
        <w:contextualSpacing/>
      </w:pPr>
      <w:r w:rsidRPr="00C07064">
        <w:t>In the current investigation, data was collected from Avengers (</w:t>
      </w:r>
      <w:r w:rsidRPr="00C07064">
        <w:rPr>
          <w:i/>
          <w:iCs/>
        </w:rPr>
        <w:t>N</w:t>
      </w:r>
      <w:r w:rsidRPr="00C07064">
        <w:t>=</w:t>
      </w:r>
      <w:r w:rsidR="00BA4A5B" w:rsidRPr="00C07064">
        <w:t>814</w:t>
      </w:r>
      <w:r w:rsidRPr="00C07064">
        <w:t>)</w:t>
      </w:r>
      <w:r w:rsidR="00BA4A5B" w:rsidRPr="00C07064">
        <w:t xml:space="preserve"> in</w:t>
      </w:r>
      <w:r w:rsidRPr="00C07064">
        <w:t xml:space="preserve"> </w:t>
      </w:r>
      <w:r w:rsidR="00FC0730" w:rsidRPr="00C07064">
        <w:t xml:space="preserve">the </w:t>
      </w:r>
      <w:r w:rsidR="00BA4A5B" w:rsidRPr="00C07064">
        <w:t>final battle against Thanos across two battlefields (North</w:t>
      </w:r>
      <w:r w:rsidR="00D26E06" w:rsidRPr="00C07064">
        <w:t xml:space="preserve"> vs. </w:t>
      </w:r>
      <w:r w:rsidR="00BA4A5B" w:rsidRPr="00C07064">
        <w:t xml:space="preserve">South). </w:t>
      </w:r>
      <w:r w:rsidR="002342F4">
        <w:t>This dataset was obtained from Dr. Igor Yakovenko’s repository on GitHub (</w:t>
      </w:r>
      <w:hyperlink r:id="rId7" w:history="1">
        <w:r w:rsidR="002342F4" w:rsidRPr="00E212CF">
          <w:rPr>
            <w:rStyle w:val="Hyperlink"/>
          </w:rPr>
          <w:t>https://github.com/iyakoven/PSYR6003-Assignment-1</w:t>
        </w:r>
      </w:hyperlink>
      <w:r w:rsidR="002342F4">
        <w:t xml:space="preserve">). </w:t>
      </w:r>
      <w:r w:rsidR="00BF591E" w:rsidRPr="00C07064">
        <w:t xml:space="preserve">Data analysis was completed using a custom R script in R Studio (version 4.3.2; R Core Team, 2023). Data cleaning was performed to remove incomplete </w:t>
      </w:r>
      <w:r w:rsidR="00852802" w:rsidRPr="00C07064">
        <w:t xml:space="preserve">or erroneous </w:t>
      </w:r>
      <w:r w:rsidR="00BF591E" w:rsidRPr="00C07064">
        <w:t>cases from the dataset</w:t>
      </w:r>
      <w:r w:rsidR="00D26E06" w:rsidRPr="00C07064">
        <w:t>. Two participants were excluded as they were incomplete cases,</w:t>
      </w:r>
      <w:r w:rsidR="008C446A" w:rsidRPr="00C07064">
        <w:t xml:space="preserve"> resulting in a final sample of</w:t>
      </w:r>
      <w:r w:rsidR="008C446A" w:rsidRPr="00C07064">
        <w:rPr>
          <w:i/>
          <w:iCs/>
        </w:rPr>
        <w:t xml:space="preserve"> </w:t>
      </w:r>
      <w:r w:rsidR="00BF591E" w:rsidRPr="00C07064">
        <w:rPr>
          <w:i/>
          <w:iCs/>
        </w:rPr>
        <w:t>N</w:t>
      </w:r>
      <w:r w:rsidR="00BF591E" w:rsidRPr="00C07064">
        <w:t xml:space="preserve">=812. </w:t>
      </w:r>
    </w:p>
    <w:p w14:paraId="30141EAB" w14:textId="2D8C26E8" w:rsidR="00166673" w:rsidRDefault="00BF591E" w:rsidP="00D7748D">
      <w:pPr>
        <w:snapToGrid w:val="0"/>
        <w:spacing w:after="540" w:line="480" w:lineRule="auto"/>
        <w:ind w:firstLine="720"/>
        <w:contextualSpacing/>
        <w:rPr>
          <w:color w:val="000000"/>
        </w:rPr>
      </w:pPr>
      <w:r w:rsidRPr="00C07064">
        <w:t xml:space="preserve">Descriptive statistics </w:t>
      </w:r>
      <w:r w:rsidR="000B3AC7" w:rsidRPr="00C07064">
        <w:t>for participants who were reported to not have superpowers and had died in battle (</w:t>
      </w:r>
      <w:r w:rsidR="000B3AC7" w:rsidRPr="00C07064">
        <w:rPr>
          <w:i/>
          <w:iCs/>
        </w:rPr>
        <w:t>N</w:t>
      </w:r>
      <w:r w:rsidR="000B3AC7" w:rsidRPr="00C07064">
        <w:t xml:space="preserve">=101) </w:t>
      </w:r>
      <w:r w:rsidRPr="00C07064">
        <w:t xml:space="preserve">were calculated </w:t>
      </w:r>
      <w:r w:rsidR="008C446A" w:rsidRPr="00C07064">
        <w:t xml:space="preserve">using the </w:t>
      </w:r>
      <w:proofErr w:type="spellStart"/>
      <w:r w:rsidR="008C446A" w:rsidRPr="00C07064">
        <w:rPr>
          <w:i/>
          <w:iCs/>
        </w:rPr>
        <w:t>tidyverse</w:t>
      </w:r>
      <w:proofErr w:type="spellEnd"/>
      <w:r w:rsidR="008C446A" w:rsidRPr="00C07064">
        <w:t xml:space="preserve"> package (Wickham et al., 2019)</w:t>
      </w:r>
      <w:r w:rsidR="00BD449C" w:rsidRPr="00C07064">
        <w:t xml:space="preserve">. Outcomes of interest included </w:t>
      </w:r>
      <w:r w:rsidR="008C446A" w:rsidRPr="00C07064">
        <w:t>combat effectiveness</w:t>
      </w:r>
      <w:r w:rsidR="00166673" w:rsidRPr="00C07064">
        <w:t xml:space="preserve">; representing a sum of </w:t>
      </w:r>
      <w:r w:rsidR="00166673" w:rsidRPr="00C07064">
        <w:rPr>
          <w:color w:val="000000"/>
          <w:shd w:val="clear" w:color="auto" w:fill="FFFFFF"/>
        </w:rPr>
        <w:t xml:space="preserve">scores for agility, speed, strength, and willpower; </w:t>
      </w:r>
      <w:r w:rsidR="008C446A" w:rsidRPr="00C07064">
        <w:rPr>
          <w:color w:val="000000"/>
          <w:shd w:val="clear" w:color="auto" w:fill="FFFFFF"/>
        </w:rPr>
        <w:t>(</w:t>
      </w:r>
      <w:r w:rsidR="008C446A" w:rsidRPr="00C07064">
        <w:rPr>
          <w:i/>
          <w:iCs/>
          <w:color w:val="000000"/>
          <w:shd w:val="clear" w:color="auto" w:fill="FFFFFF"/>
        </w:rPr>
        <w:t>M=</w:t>
      </w:r>
      <w:r w:rsidR="008C446A" w:rsidRPr="00C07064">
        <w:rPr>
          <w:color w:val="000000"/>
        </w:rPr>
        <w:t>497.53</w:t>
      </w:r>
      <w:r w:rsidR="008C446A" w:rsidRPr="00C07064">
        <w:rPr>
          <w:color w:val="000000"/>
          <w:shd w:val="clear" w:color="auto" w:fill="FFFFFF"/>
        </w:rPr>
        <w:t xml:space="preserve">, </w:t>
      </w:r>
      <w:r w:rsidR="008C446A" w:rsidRPr="00C07064">
        <w:rPr>
          <w:i/>
          <w:iCs/>
          <w:color w:val="000000"/>
          <w:shd w:val="clear" w:color="auto" w:fill="FFFFFF"/>
        </w:rPr>
        <w:t xml:space="preserve">SD </w:t>
      </w:r>
      <w:r w:rsidR="008C446A" w:rsidRPr="00C07064">
        <w:rPr>
          <w:color w:val="000000"/>
          <w:shd w:val="clear" w:color="auto" w:fill="FFFFFF"/>
        </w:rPr>
        <w:t xml:space="preserve">= </w:t>
      </w:r>
      <w:r w:rsidR="008C446A" w:rsidRPr="00C07064">
        <w:rPr>
          <w:color w:val="000000"/>
        </w:rPr>
        <w:t>177.5</w:t>
      </w:r>
      <w:r w:rsidR="00C57DB4">
        <w:rPr>
          <w:color w:val="000000"/>
        </w:rPr>
        <w:t>6</w:t>
      </w:r>
      <w:r w:rsidR="008C446A" w:rsidRPr="00C07064">
        <w:rPr>
          <w:color w:val="000000"/>
          <w:shd w:val="clear" w:color="auto" w:fill="FFFFFF"/>
        </w:rPr>
        <w:t xml:space="preserve">, Range = </w:t>
      </w:r>
      <w:r w:rsidR="008C446A" w:rsidRPr="00C07064">
        <w:rPr>
          <w:color w:val="000000"/>
        </w:rPr>
        <w:t>67.25</w:t>
      </w:r>
      <w:r w:rsidR="008C446A" w:rsidRPr="00C07064">
        <w:rPr>
          <w:color w:val="000000"/>
          <w:shd w:val="clear" w:color="auto" w:fill="FFFFFF"/>
        </w:rPr>
        <w:t>-</w:t>
      </w:r>
      <w:r w:rsidR="008C446A" w:rsidRPr="00C07064">
        <w:rPr>
          <w:color w:val="000000"/>
        </w:rPr>
        <w:t>946.89</w:t>
      </w:r>
      <w:r w:rsidR="008C446A" w:rsidRPr="00C07064">
        <w:rPr>
          <w:color w:val="000000"/>
          <w:shd w:val="clear" w:color="auto" w:fill="FFFFFF"/>
        </w:rPr>
        <w:t>)</w:t>
      </w:r>
      <w:r w:rsidR="008C446A" w:rsidRPr="00C07064">
        <w:t xml:space="preserve">, kills </w:t>
      </w:r>
      <w:r w:rsidR="008C446A" w:rsidRPr="00C07064">
        <w:rPr>
          <w:color w:val="000000"/>
          <w:shd w:val="clear" w:color="auto" w:fill="FFFFFF"/>
        </w:rPr>
        <w:t>(</w:t>
      </w:r>
      <w:r w:rsidR="008C446A" w:rsidRPr="00C07064">
        <w:rPr>
          <w:i/>
          <w:iCs/>
          <w:color w:val="000000"/>
          <w:shd w:val="clear" w:color="auto" w:fill="FFFFFF"/>
        </w:rPr>
        <w:t>M=</w:t>
      </w:r>
      <w:r w:rsidR="008C446A" w:rsidRPr="00C07064">
        <w:rPr>
          <w:color w:val="000000"/>
        </w:rPr>
        <w:t>2.55</w:t>
      </w:r>
      <w:r w:rsidR="008C446A" w:rsidRPr="00C07064">
        <w:rPr>
          <w:color w:val="000000"/>
          <w:shd w:val="clear" w:color="auto" w:fill="FFFFFF"/>
        </w:rPr>
        <w:t xml:space="preserve">, </w:t>
      </w:r>
      <w:r w:rsidR="008C446A" w:rsidRPr="00C07064">
        <w:rPr>
          <w:i/>
          <w:iCs/>
          <w:color w:val="000000"/>
          <w:shd w:val="clear" w:color="auto" w:fill="FFFFFF"/>
        </w:rPr>
        <w:t xml:space="preserve">SD </w:t>
      </w:r>
      <w:r w:rsidR="008C446A" w:rsidRPr="00C07064">
        <w:rPr>
          <w:color w:val="000000"/>
          <w:shd w:val="clear" w:color="auto" w:fill="FFFFFF"/>
        </w:rPr>
        <w:t xml:space="preserve">= </w:t>
      </w:r>
      <w:r w:rsidR="008C446A" w:rsidRPr="00C07064">
        <w:rPr>
          <w:color w:val="000000"/>
        </w:rPr>
        <w:t>8.8</w:t>
      </w:r>
      <w:r w:rsidR="00C57DB4">
        <w:rPr>
          <w:color w:val="000000"/>
        </w:rPr>
        <w:t>1</w:t>
      </w:r>
      <w:r w:rsidR="008C446A" w:rsidRPr="00C07064">
        <w:rPr>
          <w:color w:val="000000"/>
          <w:shd w:val="clear" w:color="auto" w:fill="FFFFFF"/>
        </w:rPr>
        <w:t xml:space="preserve">, Range = </w:t>
      </w:r>
      <w:r w:rsidR="008C446A" w:rsidRPr="00C07064">
        <w:rPr>
          <w:color w:val="000000"/>
        </w:rPr>
        <w:t>0</w:t>
      </w:r>
      <w:r w:rsidR="008C446A" w:rsidRPr="00C07064">
        <w:rPr>
          <w:color w:val="000000"/>
          <w:shd w:val="clear" w:color="auto" w:fill="FFFFFF"/>
        </w:rPr>
        <w:t>-</w:t>
      </w:r>
      <w:r w:rsidR="008C446A" w:rsidRPr="00C07064">
        <w:rPr>
          <w:color w:val="000000"/>
        </w:rPr>
        <w:t>79</w:t>
      </w:r>
      <w:r w:rsidR="008C446A" w:rsidRPr="00C07064">
        <w:rPr>
          <w:color w:val="000000"/>
          <w:shd w:val="clear" w:color="auto" w:fill="FFFFFF"/>
        </w:rPr>
        <w:t>)</w:t>
      </w:r>
      <w:r w:rsidR="008C446A" w:rsidRPr="00C07064">
        <w:t xml:space="preserve">, and injuries </w:t>
      </w:r>
      <w:r w:rsidR="008C446A" w:rsidRPr="00C07064">
        <w:rPr>
          <w:color w:val="000000"/>
          <w:shd w:val="clear" w:color="auto" w:fill="FFFFFF"/>
        </w:rPr>
        <w:t>(</w:t>
      </w:r>
      <w:r w:rsidR="008C446A" w:rsidRPr="00C07064">
        <w:rPr>
          <w:i/>
          <w:iCs/>
          <w:color w:val="000000"/>
          <w:shd w:val="clear" w:color="auto" w:fill="FFFFFF"/>
        </w:rPr>
        <w:t>M=</w:t>
      </w:r>
      <w:r w:rsidR="008C446A" w:rsidRPr="00C07064">
        <w:rPr>
          <w:color w:val="000000"/>
        </w:rPr>
        <w:t>4.55</w:t>
      </w:r>
      <w:r w:rsidR="008C446A" w:rsidRPr="00C07064">
        <w:rPr>
          <w:color w:val="000000"/>
          <w:shd w:val="clear" w:color="auto" w:fill="FFFFFF"/>
        </w:rPr>
        <w:t xml:space="preserve">, </w:t>
      </w:r>
      <w:r w:rsidR="008C446A" w:rsidRPr="00C07064">
        <w:rPr>
          <w:i/>
          <w:iCs/>
          <w:color w:val="000000"/>
          <w:shd w:val="clear" w:color="auto" w:fill="FFFFFF"/>
        </w:rPr>
        <w:t xml:space="preserve">SD </w:t>
      </w:r>
      <w:r w:rsidR="008C446A" w:rsidRPr="00C07064">
        <w:rPr>
          <w:color w:val="000000"/>
          <w:shd w:val="clear" w:color="auto" w:fill="FFFFFF"/>
        </w:rPr>
        <w:t xml:space="preserve">= </w:t>
      </w:r>
      <w:r w:rsidR="008C446A" w:rsidRPr="00C07064">
        <w:rPr>
          <w:color w:val="000000"/>
        </w:rPr>
        <w:t>0.74</w:t>
      </w:r>
      <w:r w:rsidR="008C446A" w:rsidRPr="00C07064">
        <w:rPr>
          <w:color w:val="000000"/>
          <w:shd w:val="clear" w:color="auto" w:fill="FFFFFF"/>
        </w:rPr>
        <w:t xml:space="preserve">, Range = </w:t>
      </w:r>
      <w:r w:rsidR="008C446A" w:rsidRPr="00C07064">
        <w:rPr>
          <w:color w:val="000000"/>
        </w:rPr>
        <w:t>2</w:t>
      </w:r>
      <w:r w:rsidR="008C446A" w:rsidRPr="00C07064">
        <w:rPr>
          <w:color w:val="000000"/>
          <w:shd w:val="clear" w:color="auto" w:fill="FFFFFF"/>
        </w:rPr>
        <w:t>-</w:t>
      </w:r>
      <w:r w:rsidR="008C446A" w:rsidRPr="00C07064">
        <w:rPr>
          <w:color w:val="000000"/>
        </w:rPr>
        <w:t>5</w:t>
      </w:r>
      <w:r w:rsidR="008C446A" w:rsidRPr="00C07064">
        <w:rPr>
          <w:color w:val="000000"/>
          <w:shd w:val="clear" w:color="auto" w:fill="FFFFFF"/>
        </w:rPr>
        <w:t xml:space="preserve">). </w:t>
      </w:r>
      <w:r w:rsidR="00B220BC" w:rsidRPr="00C07064">
        <w:rPr>
          <w:color w:val="000000"/>
          <w:shd w:val="clear" w:color="auto" w:fill="FFFFFF"/>
        </w:rPr>
        <w:t>Given the error</w:t>
      </w:r>
      <w:r w:rsidR="00102DBD">
        <w:rPr>
          <w:color w:val="000000"/>
          <w:shd w:val="clear" w:color="auto" w:fill="FFFFFF"/>
        </w:rPr>
        <w:t xml:space="preserve"> in the mean model for combat effectiveness</w:t>
      </w:r>
      <w:r w:rsidR="00B220BC" w:rsidRPr="00C07064">
        <w:rPr>
          <w:color w:val="000000"/>
          <w:shd w:val="clear" w:color="auto" w:fill="FFFFFF"/>
        </w:rPr>
        <w:t xml:space="preserve"> (</w:t>
      </w:r>
      <w:r w:rsidR="00B220BC" w:rsidRPr="00C07064">
        <w:rPr>
          <w:i/>
          <w:iCs/>
          <w:color w:val="000000"/>
          <w:shd w:val="clear" w:color="auto" w:fill="FFFFFF"/>
        </w:rPr>
        <w:t>SD</w:t>
      </w:r>
      <w:r w:rsidR="00B220BC" w:rsidRPr="00C07064">
        <w:rPr>
          <w:color w:val="000000"/>
          <w:shd w:val="clear" w:color="auto" w:fill="FFFFFF"/>
        </w:rPr>
        <w:t>=</w:t>
      </w:r>
      <w:r w:rsidR="00B220BC" w:rsidRPr="00C07064">
        <w:rPr>
          <w:color w:val="000000"/>
        </w:rPr>
        <w:t>177.5</w:t>
      </w:r>
      <w:r w:rsidR="0018733A">
        <w:rPr>
          <w:color w:val="000000"/>
        </w:rPr>
        <w:t>6</w:t>
      </w:r>
      <w:r w:rsidR="00B220BC" w:rsidRPr="00C07064">
        <w:rPr>
          <w:color w:val="000000"/>
        </w:rPr>
        <w:t>)</w:t>
      </w:r>
      <w:r w:rsidR="00102DBD">
        <w:rPr>
          <w:color w:val="000000"/>
        </w:rPr>
        <w:t xml:space="preserve">, this indicates potentially great variability in the data, suggesting that the mean model may not best represent the observed data and is likely </w:t>
      </w:r>
      <w:r w:rsidR="00B220BC" w:rsidRPr="00C07064">
        <w:rPr>
          <w:color w:val="000000"/>
        </w:rPr>
        <w:t>erroneous</w:t>
      </w:r>
      <w:r w:rsidR="00102DBD">
        <w:rPr>
          <w:color w:val="000000"/>
        </w:rPr>
        <w:t xml:space="preserve"> relative to the mean models for kills (</w:t>
      </w:r>
      <w:r w:rsidR="00102DBD" w:rsidRPr="00C07064">
        <w:rPr>
          <w:i/>
          <w:iCs/>
          <w:color w:val="000000"/>
          <w:shd w:val="clear" w:color="auto" w:fill="FFFFFF"/>
        </w:rPr>
        <w:t xml:space="preserve">SD </w:t>
      </w:r>
      <w:r w:rsidR="00102DBD" w:rsidRPr="00C07064">
        <w:rPr>
          <w:color w:val="000000"/>
          <w:shd w:val="clear" w:color="auto" w:fill="FFFFFF"/>
        </w:rPr>
        <w:t xml:space="preserve">= </w:t>
      </w:r>
      <w:r w:rsidR="00102DBD" w:rsidRPr="00C07064">
        <w:rPr>
          <w:color w:val="000000"/>
        </w:rPr>
        <w:t>8.8</w:t>
      </w:r>
      <w:r w:rsidR="0018733A">
        <w:rPr>
          <w:color w:val="000000"/>
        </w:rPr>
        <w:t>1</w:t>
      </w:r>
      <w:r w:rsidR="00102DBD">
        <w:rPr>
          <w:color w:val="000000"/>
        </w:rPr>
        <w:t>) and injuries (</w:t>
      </w:r>
      <w:r w:rsidR="00102DBD" w:rsidRPr="00C07064">
        <w:rPr>
          <w:i/>
          <w:iCs/>
          <w:color w:val="000000"/>
          <w:shd w:val="clear" w:color="auto" w:fill="FFFFFF"/>
        </w:rPr>
        <w:t xml:space="preserve">SD </w:t>
      </w:r>
      <w:r w:rsidR="00102DBD" w:rsidRPr="00C07064">
        <w:rPr>
          <w:color w:val="000000"/>
          <w:shd w:val="clear" w:color="auto" w:fill="FFFFFF"/>
        </w:rPr>
        <w:t xml:space="preserve">= </w:t>
      </w:r>
      <w:r w:rsidR="00102DBD" w:rsidRPr="00C07064">
        <w:rPr>
          <w:color w:val="000000"/>
        </w:rPr>
        <w:t>0.74</w:t>
      </w:r>
      <w:r w:rsidR="00102DBD">
        <w:rPr>
          <w:color w:val="000000"/>
        </w:rPr>
        <w:t xml:space="preserve">) which have </w:t>
      </w:r>
      <w:r w:rsidR="007201ED">
        <w:rPr>
          <w:color w:val="000000"/>
        </w:rPr>
        <w:t>less error</w:t>
      </w:r>
      <w:r w:rsidR="00B220BC" w:rsidRPr="00C07064">
        <w:rPr>
          <w:color w:val="000000"/>
        </w:rPr>
        <w:t xml:space="preserve">. </w:t>
      </w:r>
    </w:p>
    <w:p w14:paraId="284763A5" w14:textId="556E0EF3" w:rsidR="0009227C" w:rsidRDefault="0009227C" w:rsidP="0009227C">
      <w:pPr>
        <w:snapToGrid w:val="0"/>
        <w:spacing w:after="540" w:line="480" w:lineRule="auto"/>
        <w:ind w:firstLine="720"/>
        <w:contextualSpacing/>
      </w:pPr>
      <w:r w:rsidRPr="00C07064">
        <w:rPr>
          <w:color w:val="000000"/>
          <w:shd w:val="clear" w:color="auto" w:fill="FFFFFF"/>
        </w:rPr>
        <w:t xml:space="preserve">Amongst this subset of data including only participants who did not have superpowers and had died, </w:t>
      </w:r>
      <w:r>
        <w:rPr>
          <w:color w:val="000000"/>
          <w:shd w:val="clear" w:color="auto" w:fill="FFFFFF"/>
        </w:rPr>
        <w:t>descriptive statistics for avengers categorized in either the North or South battlefield</w:t>
      </w:r>
      <w:r w:rsidR="00CA1989">
        <w:rPr>
          <w:color w:val="000000"/>
          <w:shd w:val="clear" w:color="auto" w:fill="FFFFFF"/>
        </w:rPr>
        <w:t>s can be found in Table 1</w:t>
      </w:r>
      <w:r>
        <w:rPr>
          <w:color w:val="000000"/>
          <w:shd w:val="clear" w:color="auto" w:fill="FFFFFF"/>
        </w:rPr>
        <w:t>.</w:t>
      </w:r>
      <w:r>
        <w:t xml:space="preserve"> </w:t>
      </w:r>
      <w:r w:rsidR="00CA1989" w:rsidRPr="00CA1989">
        <w:t>W</w:t>
      </w:r>
      <w:r w:rsidR="00166673" w:rsidRPr="00C07064">
        <w:rPr>
          <w:color w:val="000000"/>
          <w:shd w:val="clear" w:color="auto" w:fill="FFFFFF"/>
        </w:rPr>
        <w:t>e aimed to determine the battlefield (North vs. South) which was most effective in combat</w:t>
      </w:r>
      <w:r w:rsidR="00852802" w:rsidRPr="00C07064">
        <w:rPr>
          <w:color w:val="000000"/>
          <w:shd w:val="clear" w:color="auto" w:fill="FFFFFF"/>
        </w:rPr>
        <w:t xml:space="preserve">, and which had the </w:t>
      </w:r>
      <w:r w:rsidR="00166673" w:rsidRPr="00C07064">
        <w:rPr>
          <w:color w:val="000000"/>
          <w:shd w:val="clear" w:color="auto" w:fill="FFFFFF"/>
        </w:rPr>
        <w:t>most injuries</w:t>
      </w:r>
      <w:r w:rsidR="00852802" w:rsidRPr="00C07064">
        <w:rPr>
          <w:color w:val="000000"/>
          <w:shd w:val="clear" w:color="auto" w:fill="FFFFFF"/>
        </w:rPr>
        <w:t>,</w:t>
      </w:r>
      <w:r w:rsidR="000B3AC7" w:rsidRPr="00C07064">
        <w:rPr>
          <w:color w:val="000000"/>
          <w:shd w:val="clear" w:color="auto" w:fill="FFFFFF"/>
        </w:rPr>
        <w:t xml:space="preserve"> </w:t>
      </w:r>
      <w:r w:rsidR="00166673" w:rsidRPr="00C07064">
        <w:rPr>
          <w:color w:val="000000"/>
          <w:shd w:val="clear" w:color="auto" w:fill="FFFFFF"/>
        </w:rPr>
        <w:t>using the</w:t>
      </w:r>
      <w:r w:rsidR="00166673" w:rsidRPr="00C07064">
        <w:rPr>
          <w:i/>
          <w:iCs/>
          <w:color w:val="000000"/>
          <w:shd w:val="clear" w:color="auto" w:fill="FFFFFF"/>
        </w:rPr>
        <w:t xml:space="preserve"> </w:t>
      </w:r>
      <w:proofErr w:type="spellStart"/>
      <w:r w:rsidR="00166673" w:rsidRPr="00C07064">
        <w:rPr>
          <w:i/>
          <w:iCs/>
          <w:color w:val="000000"/>
          <w:shd w:val="clear" w:color="auto" w:fill="FFFFFF"/>
        </w:rPr>
        <w:t>tidyverse</w:t>
      </w:r>
      <w:proofErr w:type="spellEnd"/>
      <w:r w:rsidR="00166673" w:rsidRPr="00C07064">
        <w:rPr>
          <w:color w:val="000000"/>
          <w:shd w:val="clear" w:color="auto" w:fill="FFFFFF"/>
        </w:rPr>
        <w:t xml:space="preserve"> package </w:t>
      </w:r>
      <w:r w:rsidR="00166673" w:rsidRPr="00C07064">
        <w:t xml:space="preserve">(Wickham et al., 2019). Based on </w:t>
      </w:r>
      <w:r w:rsidR="000B3AC7" w:rsidRPr="00C07064">
        <w:t xml:space="preserve">mean </w:t>
      </w:r>
      <w:r w:rsidR="00166673" w:rsidRPr="00C07064">
        <w:t>combat effectiveness scores, the North battlefield was most effective in combat (</w:t>
      </w:r>
      <w:r w:rsidR="00166673" w:rsidRPr="00C07064">
        <w:rPr>
          <w:i/>
          <w:iCs/>
        </w:rPr>
        <w:t>M= 499.78</w:t>
      </w:r>
      <w:r w:rsidR="00166673" w:rsidRPr="00C07064">
        <w:t xml:space="preserve">, </w:t>
      </w:r>
      <w:r w:rsidR="00166673" w:rsidRPr="00C07064">
        <w:rPr>
          <w:i/>
          <w:iCs/>
        </w:rPr>
        <w:t xml:space="preserve">SD </w:t>
      </w:r>
      <w:r w:rsidR="00166673" w:rsidRPr="00C07064">
        <w:t>= 174.0</w:t>
      </w:r>
      <w:r w:rsidR="005A4AE0">
        <w:t>7</w:t>
      </w:r>
      <w:r w:rsidR="00166673" w:rsidRPr="00C07064">
        <w:t>, Range = 130.68-897.06) relative to the South battlefield (</w:t>
      </w:r>
      <w:r w:rsidR="00166673" w:rsidRPr="00C07064">
        <w:rPr>
          <w:i/>
          <w:iCs/>
        </w:rPr>
        <w:t xml:space="preserve">M= </w:t>
      </w:r>
      <w:r w:rsidR="00166673" w:rsidRPr="00C07064">
        <w:t>491.6</w:t>
      </w:r>
      <w:r w:rsidR="005A4AE0">
        <w:t>8</w:t>
      </w:r>
      <w:r w:rsidR="00166673" w:rsidRPr="00C07064">
        <w:t xml:space="preserve">, </w:t>
      </w:r>
      <w:r w:rsidR="00166673" w:rsidRPr="00C07064">
        <w:rPr>
          <w:i/>
          <w:iCs/>
        </w:rPr>
        <w:t xml:space="preserve">SD </w:t>
      </w:r>
      <w:r w:rsidR="00166673" w:rsidRPr="00C07064">
        <w:t>=189.5</w:t>
      </w:r>
      <w:r w:rsidR="005A4AE0">
        <w:t>3</w:t>
      </w:r>
      <w:r w:rsidR="00166673" w:rsidRPr="00C07064">
        <w:t>, Range = 67.25-946.89). On the other hand, the battlefield with the most injuries was the North battlefield (</w:t>
      </w:r>
      <w:r w:rsidR="00166673" w:rsidRPr="00C07064">
        <w:rPr>
          <w:i/>
          <w:iCs/>
        </w:rPr>
        <w:t>M= 4.60</w:t>
      </w:r>
      <w:r w:rsidR="00166673" w:rsidRPr="00C07064">
        <w:t xml:space="preserve">, </w:t>
      </w:r>
      <w:r w:rsidR="00166673" w:rsidRPr="00C07064">
        <w:rPr>
          <w:i/>
          <w:iCs/>
        </w:rPr>
        <w:t xml:space="preserve">SD </w:t>
      </w:r>
      <w:r w:rsidR="00166673" w:rsidRPr="00C07064">
        <w:t>= 0.68, Range = 2-5), as compared to the South battlefield (</w:t>
      </w:r>
      <w:r w:rsidR="00166673" w:rsidRPr="00C07064">
        <w:rPr>
          <w:i/>
          <w:iCs/>
        </w:rPr>
        <w:t>M=4.4</w:t>
      </w:r>
      <w:r w:rsidR="005A4AE0">
        <w:rPr>
          <w:i/>
          <w:iCs/>
        </w:rPr>
        <w:t>3</w:t>
      </w:r>
      <w:r w:rsidR="00166673" w:rsidRPr="00C07064">
        <w:t xml:space="preserve">, </w:t>
      </w:r>
      <w:r w:rsidR="00166673" w:rsidRPr="00C07064">
        <w:rPr>
          <w:i/>
          <w:iCs/>
        </w:rPr>
        <w:t xml:space="preserve">SD </w:t>
      </w:r>
      <w:r w:rsidR="00166673" w:rsidRPr="00C07064">
        <w:t>= 0.8</w:t>
      </w:r>
      <w:r w:rsidR="005A4AE0">
        <w:t>8</w:t>
      </w:r>
      <w:r w:rsidR="00166673" w:rsidRPr="00C07064">
        <w:t>, Range = 2-5).</w:t>
      </w:r>
      <w:r w:rsidR="00B220BC" w:rsidRPr="00C07064">
        <w:t xml:space="preserve"> </w:t>
      </w:r>
    </w:p>
    <w:p w14:paraId="66D05036" w14:textId="71E11A63" w:rsidR="00B40232" w:rsidRDefault="00B40232" w:rsidP="00D7748D">
      <w:pPr>
        <w:snapToGrid w:val="0"/>
        <w:spacing w:after="540" w:line="480" w:lineRule="auto"/>
        <w:ind w:firstLine="720"/>
        <w:contextualSpacing/>
      </w:pPr>
      <w:r w:rsidRPr="00C07064">
        <w:t xml:space="preserve">In a secondary analysis of this sample, we aimed to understand the relationship between </w:t>
      </w:r>
      <w:r w:rsidR="005173A4">
        <w:t xml:space="preserve">presence or absence of </w:t>
      </w:r>
      <w:r w:rsidRPr="00C07064">
        <w:t>superpowers and IQ</w:t>
      </w:r>
      <w:r w:rsidR="005173A4">
        <w:t xml:space="preserve"> scores</w:t>
      </w:r>
      <w:r w:rsidRPr="00C07064">
        <w:t xml:space="preserve"> using an independent samples t-test. We hypothesized that avengers with superpowers had a higher average IQ than those without. </w:t>
      </w:r>
    </w:p>
    <w:p w14:paraId="269C45E5" w14:textId="7956CBD1" w:rsidR="004063EA" w:rsidRPr="00C07064" w:rsidRDefault="004063EA" w:rsidP="00D7748D">
      <w:pPr>
        <w:snapToGrid w:val="0"/>
        <w:spacing w:after="540" w:line="480" w:lineRule="auto"/>
        <w:ind w:firstLine="720"/>
        <w:contextualSpacing/>
      </w:pPr>
      <w:r w:rsidRPr="00C07064">
        <w:rPr>
          <w:color w:val="000000"/>
          <w:shd w:val="clear" w:color="auto" w:fill="FFFFFF"/>
        </w:rPr>
        <w:t xml:space="preserve">To </w:t>
      </w:r>
      <w:r w:rsidRPr="004063EA">
        <w:rPr>
          <w:color w:val="000000"/>
          <w:shd w:val="clear" w:color="auto" w:fill="FFFFFF"/>
        </w:rPr>
        <w:t xml:space="preserve">estimate the required sample size, </w:t>
      </w:r>
      <w:r w:rsidRPr="00C07064">
        <w:rPr>
          <w:color w:val="000000"/>
          <w:shd w:val="clear" w:color="auto" w:fill="FFFFFF"/>
        </w:rPr>
        <w:t>we decided to</w:t>
      </w:r>
      <w:r w:rsidRPr="004063EA">
        <w:rPr>
          <w:color w:val="000000"/>
          <w:shd w:val="clear" w:color="auto" w:fill="FFFFFF"/>
        </w:rPr>
        <w:t xml:space="preserve"> conduct an a-priori power analysis.</w:t>
      </w:r>
      <w:r w:rsidR="00852802" w:rsidRPr="00C07064">
        <w:rPr>
          <w:color w:val="000000"/>
          <w:shd w:val="clear" w:color="auto" w:fill="FFFFFF"/>
        </w:rPr>
        <w:t xml:space="preserve"> Given a specified level of desired statistical power, t</w:t>
      </w:r>
      <w:r w:rsidRPr="004063EA">
        <w:rPr>
          <w:color w:val="000000"/>
          <w:shd w:val="clear" w:color="auto" w:fill="FFFFFF"/>
        </w:rPr>
        <w:t xml:space="preserve">his method </w:t>
      </w:r>
      <w:r w:rsidR="00852802" w:rsidRPr="00C07064">
        <w:rPr>
          <w:color w:val="000000"/>
          <w:shd w:val="clear" w:color="auto" w:fill="FFFFFF"/>
        </w:rPr>
        <w:t>enables</w:t>
      </w:r>
      <w:r w:rsidRPr="004063EA">
        <w:rPr>
          <w:color w:val="000000"/>
          <w:shd w:val="clear" w:color="auto" w:fill="FFFFFF"/>
        </w:rPr>
        <w:t xml:space="preserve"> the </w:t>
      </w:r>
      <w:r w:rsidR="00852802" w:rsidRPr="00C07064">
        <w:rPr>
          <w:color w:val="000000"/>
          <w:shd w:val="clear" w:color="auto" w:fill="FFFFFF"/>
        </w:rPr>
        <w:t>examination</w:t>
      </w:r>
      <w:r w:rsidRPr="004063EA">
        <w:rPr>
          <w:color w:val="000000"/>
          <w:shd w:val="clear" w:color="auto" w:fill="FFFFFF"/>
        </w:rPr>
        <w:t xml:space="preserve"> of specific effect sizes which can be statistically rejected</w:t>
      </w:r>
      <w:r w:rsidR="00852802" w:rsidRPr="00C07064">
        <w:rPr>
          <w:color w:val="000000"/>
          <w:shd w:val="clear" w:color="auto" w:fill="FFFFFF"/>
        </w:rPr>
        <w:t xml:space="preserve">. Therefore, </w:t>
      </w:r>
      <w:r w:rsidR="00B40232" w:rsidRPr="00C07064">
        <w:rPr>
          <w:color w:val="000000"/>
          <w:shd w:val="clear" w:color="auto" w:fill="FFFFFF"/>
        </w:rPr>
        <w:t xml:space="preserve">using this calculation we can be relatively certain that the sample size attained from this population will provide us with reasonable power to detect the effect of interest, if a true effect is present. </w:t>
      </w:r>
      <w:r w:rsidR="00852802" w:rsidRPr="00C07064">
        <w:rPr>
          <w:color w:val="000000"/>
          <w:shd w:val="clear" w:color="auto" w:fill="FFFFFF"/>
        </w:rPr>
        <w:t>Alternatively, g</w:t>
      </w:r>
      <w:r w:rsidRPr="004063EA">
        <w:rPr>
          <w:color w:val="000000"/>
          <w:shd w:val="clear" w:color="auto" w:fill="FFFFFF"/>
        </w:rPr>
        <w:t xml:space="preserve">iven that the sample of avengers in the battle against </w:t>
      </w:r>
      <w:proofErr w:type="spellStart"/>
      <w:r w:rsidRPr="004063EA">
        <w:rPr>
          <w:color w:val="000000"/>
          <w:shd w:val="clear" w:color="auto" w:fill="FFFFFF"/>
        </w:rPr>
        <w:t>Thanos</w:t>
      </w:r>
      <w:proofErr w:type="spellEnd"/>
      <w:r w:rsidRPr="004063EA">
        <w:rPr>
          <w:color w:val="000000"/>
          <w:shd w:val="clear" w:color="auto" w:fill="FFFFFF"/>
        </w:rPr>
        <w:t xml:space="preserve"> is finite, </w:t>
      </w:r>
      <w:r w:rsidR="00852802" w:rsidRPr="00C07064">
        <w:rPr>
          <w:color w:val="000000"/>
          <w:shd w:val="clear" w:color="auto" w:fill="FFFFFF"/>
        </w:rPr>
        <w:t xml:space="preserve">we could have </w:t>
      </w:r>
      <w:r w:rsidRPr="004063EA">
        <w:rPr>
          <w:color w:val="000000"/>
          <w:shd w:val="clear" w:color="auto" w:fill="FFFFFF"/>
        </w:rPr>
        <w:t>instead chose</w:t>
      </w:r>
      <w:r w:rsidR="00852802" w:rsidRPr="00C07064">
        <w:rPr>
          <w:color w:val="000000"/>
          <w:shd w:val="clear" w:color="auto" w:fill="FFFFFF"/>
        </w:rPr>
        <w:t>n</w:t>
      </w:r>
      <w:r w:rsidRPr="004063EA">
        <w:rPr>
          <w:color w:val="000000"/>
          <w:shd w:val="clear" w:color="auto" w:fill="FFFFFF"/>
        </w:rPr>
        <w:t xml:space="preserve"> to measure the entire population</w:t>
      </w:r>
      <w:r w:rsidR="00852802" w:rsidRPr="00C07064">
        <w:rPr>
          <w:color w:val="000000"/>
          <w:shd w:val="clear" w:color="auto" w:fill="FFFFFF"/>
        </w:rPr>
        <w:t>, this way all data that could have possibly been collected is being examined</w:t>
      </w:r>
      <w:r w:rsidRPr="004063EA">
        <w:rPr>
          <w:color w:val="000000"/>
          <w:shd w:val="clear" w:color="auto" w:fill="FFFFFF"/>
        </w:rPr>
        <w:t>.</w:t>
      </w:r>
      <w:r w:rsidR="00CE09B6" w:rsidRPr="00C07064">
        <w:rPr>
          <w:color w:val="000000"/>
          <w:shd w:val="clear" w:color="auto" w:fill="FFFFFF"/>
        </w:rPr>
        <w:t xml:space="preserve"> </w:t>
      </w:r>
      <w:r w:rsidR="00B40232" w:rsidRPr="00C07064">
        <w:rPr>
          <w:color w:val="000000"/>
          <w:shd w:val="clear" w:color="auto" w:fill="FFFFFF"/>
        </w:rPr>
        <w:t xml:space="preserve">However, given potential resource constraints, the a-priori power analysis in this case was considered the optimal option to collect the minimum amount of data to achieve appropriate statistical power to detect effects of interest. </w:t>
      </w:r>
    </w:p>
    <w:p w14:paraId="7686145D" w14:textId="3231BEA0" w:rsidR="00C07064" w:rsidRDefault="00CE09B6" w:rsidP="0049021F">
      <w:pPr>
        <w:snapToGrid w:val="0"/>
        <w:spacing w:line="480" w:lineRule="auto"/>
        <w:ind w:firstLine="720"/>
        <w:contextualSpacing/>
      </w:pPr>
      <w:proofErr w:type="gramStart"/>
      <w:r w:rsidRPr="00C07064">
        <w:t>For the purpose of</w:t>
      </w:r>
      <w:proofErr w:type="gramEnd"/>
      <w:r w:rsidRPr="00C07064">
        <w:t xml:space="preserve"> </w:t>
      </w:r>
      <w:r w:rsidR="00B40232" w:rsidRPr="00C07064">
        <w:t>the current</w:t>
      </w:r>
      <w:r w:rsidRPr="00C07064">
        <w:t xml:space="preserve"> hypothesis, </w:t>
      </w:r>
      <w:r w:rsidR="00B40232" w:rsidRPr="00C07064">
        <w:t>we</w:t>
      </w:r>
      <w:r w:rsidRPr="00C07064">
        <w:t xml:space="preserve"> chose a small Cohen’s d effect of 0.2. If this were a real study, </w:t>
      </w:r>
      <w:r w:rsidR="00B40232" w:rsidRPr="00C07064">
        <w:t xml:space="preserve">this effect size would </w:t>
      </w:r>
      <w:r w:rsidRPr="00C07064">
        <w:t xml:space="preserve">have been based on the smallest effect size of interest. Therefore, in this case, </w:t>
      </w:r>
      <w:r w:rsidRPr="00C07064">
        <w:rPr>
          <w:i/>
          <w:iCs/>
        </w:rPr>
        <w:t>d=</w:t>
      </w:r>
      <w:r w:rsidRPr="00C07064">
        <w:t>0.2 would be considered the smallest effect of practical or theoretical significance in the context of this study.</w:t>
      </w:r>
      <w:r w:rsidR="000077FF" w:rsidRPr="00C07064">
        <w:t xml:space="preserve"> </w:t>
      </w:r>
      <w:r w:rsidR="000077FF" w:rsidRPr="00C9084A">
        <w:t xml:space="preserve">For instance, perhaps </w:t>
      </w:r>
      <w:r w:rsidR="00C9084A" w:rsidRPr="00C9084A">
        <w:t xml:space="preserve">only </w:t>
      </w:r>
      <w:r w:rsidR="000077FF" w:rsidRPr="00C9084A">
        <w:t xml:space="preserve">small differences in IQ </w:t>
      </w:r>
      <w:r w:rsidR="00C9084A" w:rsidRPr="00C9084A">
        <w:t xml:space="preserve">amongst avengers with vs. without superpowers may justify the need for educational resources for either group, </w:t>
      </w:r>
      <w:r w:rsidR="006217E8" w:rsidRPr="00C9084A">
        <w:t xml:space="preserve">hence an effect of </w:t>
      </w:r>
      <w:r w:rsidR="006217E8" w:rsidRPr="00C9084A">
        <w:rPr>
          <w:i/>
          <w:iCs/>
        </w:rPr>
        <w:t>d</w:t>
      </w:r>
      <w:r w:rsidR="006217E8" w:rsidRPr="00C9084A">
        <w:t>=0.2 would have been deemed sufficiently significant in a practical sense</w:t>
      </w:r>
      <w:r w:rsidR="000077FF" w:rsidRPr="00C9084A">
        <w:t>.</w:t>
      </w:r>
      <w:r w:rsidRPr="00C07064">
        <w:t xml:space="preserve"> On the other hand, </w:t>
      </w:r>
      <w:r w:rsidR="00B40232" w:rsidRPr="00C07064">
        <w:t>we may</w:t>
      </w:r>
      <w:r w:rsidRPr="00C07064">
        <w:t xml:space="preserve"> have considered the expected effect based on other peer-reviewed literature and theoretical predictions, ideally a meta-analytic effect size estimate examining the same or a similar research question.</w:t>
      </w:r>
      <w:r w:rsidR="003715B4" w:rsidRPr="00C07064">
        <w:t xml:space="preserve"> However, </w:t>
      </w:r>
      <w:r w:rsidR="006217E8">
        <w:t xml:space="preserve">given that </w:t>
      </w:r>
      <w:r w:rsidR="003715B4" w:rsidRPr="00C07064">
        <w:t>the literature examining IQ and superpowers in avengers is limited</w:t>
      </w:r>
      <w:r w:rsidR="006217E8">
        <w:t xml:space="preserve">, we did not </w:t>
      </w:r>
      <w:r w:rsidR="00CC044B">
        <w:t>choose</w:t>
      </w:r>
      <w:r w:rsidR="006217E8">
        <w:t xml:space="preserve"> this option</w:t>
      </w:r>
      <w:r w:rsidR="003715B4" w:rsidRPr="00C07064">
        <w:t xml:space="preserve">. </w:t>
      </w:r>
    </w:p>
    <w:p w14:paraId="3799B7E0" w14:textId="03264436" w:rsidR="00C07064" w:rsidRDefault="00CE09B6" w:rsidP="00D7748D">
      <w:pPr>
        <w:snapToGrid w:val="0"/>
        <w:spacing w:line="480" w:lineRule="auto"/>
        <w:ind w:firstLine="720"/>
        <w:contextualSpacing/>
        <w:rPr>
          <w:color w:val="000000"/>
          <w:bdr w:val="none" w:sz="0" w:space="0" w:color="auto" w:frame="1"/>
        </w:rPr>
      </w:pPr>
      <w:r w:rsidRPr="00C07064">
        <w:t xml:space="preserve">Using the </w:t>
      </w:r>
      <w:proofErr w:type="spellStart"/>
      <w:r w:rsidRPr="00C07064">
        <w:rPr>
          <w:i/>
          <w:iCs/>
        </w:rPr>
        <w:t>pwr</w:t>
      </w:r>
      <w:proofErr w:type="spellEnd"/>
      <w:r w:rsidRPr="00C07064">
        <w:t xml:space="preserve"> package (version 1.3-0; </w:t>
      </w:r>
      <w:proofErr w:type="spellStart"/>
      <w:r w:rsidRPr="00C07064">
        <w:t>Champely</w:t>
      </w:r>
      <w:proofErr w:type="spellEnd"/>
      <w:r w:rsidRPr="00C07064">
        <w:t xml:space="preserve">, 2020), a-priori power analysis was conducted to determine the required sample size to conduct an independent samples t-test examining differences in IQ between two groups (avengers with superpowers vs. avengers without superpowers). For the purposes of this analysis, </w:t>
      </w:r>
      <w:r w:rsidR="003715B4" w:rsidRPr="00C07064">
        <w:t xml:space="preserve">as described previously, </w:t>
      </w:r>
      <w:r w:rsidRPr="00C07064">
        <w:t>we assumed</w:t>
      </w:r>
      <w:r w:rsidR="00B40232" w:rsidRPr="00C07064">
        <w:t xml:space="preserve"> that the smallest </w:t>
      </w:r>
      <w:r w:rsidRPr="00C07064">
        <w:t>effect size of</w:t>
      </w:r>
      <w:r w:rsidR="00B40232" w:rsidRPr="00C07064">
        <w:t xml:space="preserve"> interest was</w:t>
      </w:r>
      <w:r w:rsidRPr="00C07064">
        <w:t xml:space="preserve"> </w:t>
      </w:r>
      <w:r w:rsidRPr="00C07064">
        <w:rPr>
          <w:i/>
          <w:iCs/>
        </w:rPr>
        <w:t>d=</w:t>
      </w:r>
      <w:r w:rsidRPr="00C07064">
        <w:t xml:space="preserve">0.2. We selected </w:t>
      </w:r>
      <w:r w:rsidRPr="00C07064">
        <w:rPr>
          <w:rStyle w:val="normaltextrun"/>
          <w:color w:val="000000"/>
          <w:bdr w:val="none" w:sz="0" w:space="0" w:color="auto" w:frame="1"/>
        </w:rPr>
        <w:t xml:space="preserve">a </w:t>
      </w:r>
      <w:r w:rsidR="003715B4" w:rsidRPr="00C07064">
        <w:rPr>
          <w:rStyle w:val="normaltextrun"/>
          <w:color w:val="000000"/>
          <w:bdr w:val="none" w:sz="0" w:space="0" w:color="auto" w:frame="1"/>
        </w:rPr>
        <w:t xml:space="preserve">standard </w:t>
      </w:r>
      <w:r w:rsidRPr="00C07064">
        <w:rPr>
          <w:rStyle w:val="normaltextrun"/>
          <w:color w:val="000000"/>
          <w:bdr w:val="none" w:sz="0" w:space="0" w:color="auto" w:frame="1"/>
        </w:rPr>
        <w:t>two-sided alpha level of 0.05,</w:t>
      </w:r>
      <w:r w:rsidR="00872BBF" w:rsidRPr="00C07064">
        <w:rPr>
          <w:rStyle w:val="normaltextrun"/>
          <w:color w:val="000000"/>
          <w:bdr w:val="none" w:sz="0" w:space="0" w:color="auto" w:frame="1"/>
        </w:rPr>
        <w:t xml:space="preserve"> </w:t>
      </w:r>
      <w:r w:rsidR="003715B4" w:rsidRPr="00C07064">
        <w:rPr>
          <w:rStyle w:val="normaltextrun"/>
          <w:color w:val="000000"/>
          <w:bdr w:val="none" w:sz="0" w:space="0" w:color="auto" w:frame="1"/>
        </w:rPr>
        <w:t xml:space="preserve">though we anticipate that avengers with superpowers have a higher IQ than avengers without superpowers, literature examining these properties in avengers remains limited, and thus a two-sided alpha will be considered given the possibility of avengers without superpowers having a higher mean IQ than those with superpowers. Given resource constraints, the highest anticipated statistical power we selected was a standard of 80%. Therefore, we will have 80% power to </w:t>
      </w:r>
      <w:r w:rsidRPr="00C07064">
        <w:rPr>
          <w:rStyle w:val="normaltextrun"/>
          <w:color w:val="000000"/>
          <w:bdr w:val="none" w:sz="0" w:space="0" w:color="auto" w:frame="1"/>
        </w:rPr>
        <w:t xml:space="preserve">detect between-group differences (i.e., IQ of </w:t>
      </w:r>
      <w:r w:rsidRPr="00C07064">
        <w:rPr>
          <w:color w:val="000000"/>
          <w:bdr w:val="none" w:sz="0" w:space="0" w:color="auto" w:frame="1"/>
        </w:rPr>
        <w:t xml:space="preserve">avengers with superpowers vs. without superpowers) with a sample size of </w:t>
      </w:r>
      <w:r w:rsidR="003715B4" w:rsidRPr="00C07064">
        <w:rPr>
          <w:i/>
          <w:iCs/>
          <w:color w:val="000000"/>
          <w:bdr w:val="none" w:sz="0" w:space="0" w:color="auto" w:frame="1"/>
        </w:rPr>
        <w:t>N=78</w:t>
      </w:r>
      <w:r w:rsidR="00DD392B">
        <w:rPr>
          <w:i/>
          <w:iCs/>
          <w:color w:val="000000"/>
          <w:bdr w:val="none" w:sz="0" w:space="0" w:color="auto" w:frame="1"/>
        </w:rPr>
        <w:t>8</w:t>
      </w:r>
      <w:r w:rsidR="003715B4" w:rsidRPr="00C07064">
        <w:rPr>
          <w:i/>
          <w:iCs/>
          <w:color w:val="000000"/>
          <w:bdr w:val="none" w:sz="0" w:space="0" w:color="auto" w:frame="1"/>
        </w:rPr>
        <w:t xml:space="preserve">, </w:t>
      </w:r>
      <w:r w:rsidR="00DC1697" w:rsidRPr="00C07064">
        <w:rPr>
          <w:color w:val="000000"/>
          <w:bdr w:val="none" w:sz="0" w:space="0" w:color="auto" w:frame="1"/>
        </w:rPr>
        <w:t xml:space="preserve">or </w:t>
      </w:r>
      <w:r w:rsidR="00DC1697" w:rsidRPr="00C07064">
        <w:rPr>
          <w:i/>
          <w:iCs/>
          <w:color w:val="000000"/>
          <w:bdr w:val="none" w:sz="0" w:space="0" w:color="auto" w:frame="1"/>
        </w:rPr>
        <w:t>n</w:t>
      </w:r>
      <w:r w:rsidR="00DC1697" w:rsidRPr="00C07064">
        <w:rPr>
          <w:color w:val="000000"/>
          <w:bdr w:val="none" w:sz="0" w:space="0" w:color="auto" w:frame="1"/>
        </w:rPr>
        <w:t>=39</w:t>
      </w:r>
      <w:r w:rsidR="00DD392B">
        <w:rPr>
          <w:color w:val="000000"/>
          <w:bdr w:val="none" w:sz="0" w:space="0" w:color="auto" w:frame="1"/>
        </w:rPr>
        <w:t>4</w:t>
      </w:r>
      <w:r w:rsidR="00DC1697" w:rsidRPr="00C07064">
        <w:rPr>
          <w:color w:val="000000"/>
          <w:bdr w:val="none" w:sz="0" w:space="0" w:color="auto" w:frame="1"/>
        </w:rPr>
        <w:t xml:space="preserve"> per group. </w:t>
      </w:r>
    </w:p>
    <w:p w14:paraId="6412287C" w14:textId="1C931F6C" w:rsidR="00193CC1" w:rsidRDefault="00DC1697" w:rsidP="00193CC1">
      <w:pPr>
        <w:snapToGrid w:val="0"/>
        <w:spacing w:line="480" w:lineRule="auto"/>
        <w:ind w:firstLine="720"/>
        <w:contextualSpacing/>
      </w:pPr>
      <w:r w:rsidRPr="00C07064">
        <w:t>We also aimed to determine whether we had enough power to confirm if there truly was no difference between the groups</w:t>
      </w:r>
      <w:r w:rsidR="002B6AAA">
        <w:t xml:space="preserve"> given the </w:t>
      </w:r>
      <w:commentRangeStart w:id="0"/>
      <w:r w:rsidR="002B6AAA">
        <w:t>sample size calculated previously</w:t>
      </w:r>
      <w:commentRangeEnd w:id="0"/>
      <w:r w:rsidR="00733140">
        <w:rPr>
          <w:rStyle w:val="CommentReference"/>
          <w:rFonts w:asciiTheme="minorHAnsi" w:eastAsiaTheme="minorHAnsi" w:hAnsiTheme="minorHAnsi" w:cstheme="minorBidi"/>
          <w:lang w:val="en-US"/>
        </w:rPr>
        <w:commentReference w:id="0"/>
      </w:r>
      <w:r w:rsidRPr="00C07064">
        <w:t xml:space="preserve">. Using the </w:t>
      </w:r>
      <w:r w:rsidRPr="00C07064">
        <w:rPr>
          <w:i/>
          <w:iCs/>
        </w:rPr>
        <w:t xml:space="preserve">TOSTER </w:t>
      </w:r>
      <w:r w:rsidRPr="00C07064">
        <w:t xml:space="preserve">package (Caldwell, 2022; </w:t>
      </w:r>
      <w:proofErr w:type="spellStart"/>
      <w:r w:rsidRPr="00C07064">
        <w:t>Lakens</w:t>
      </w:r>
      <w:proofErr w:type="spellEnd"/>
      <w:r w:rsidRPr="00C07064">
        <w:t>, 2017)</w:t>
      </w:r>
      <w:r w:rsidR="006217E8">
        <w:t xml:space="preserve">, </w:t>
      </w:r>
      <w:r w:rsidRPr="00C07064">
        <w:t>an equivalence test was conducted by performing two one-sided tests. Given the lower and upper bounds of -0.2 and 0.2, as specified by our smallest effect size of interest,</w:t>
      </w:r>
      <w:r w:rsidR="00DD392B">
        <w:t xml:space="preserve"> </w:t>
      </w:r>
      <w:r w:rsidR="002B6AAA">
        <w:t>and a</w:t>
      </w:r>
      <w:r w:rsidR="00DD392B">
        <w:t xml:space="preserve"> sample size of </w:t>
      </w:r>
      <w:r w:rsidR="00DD392B" w:rsidRPr="00DD392B">
        <w:rPr>
          <w:i/>
          <w:iCs/>
        </w:rPr>
        <w:t>n</w:t>
      </w:r>
      <w:r w:rsidR="00DD392B">
        <w:t xml:space="preserve">=394 per group as </w:t>
      </w:r>
      <w:r w:rsidR="002B6AAA">
        <w:t>determined by the previous power analysis</w:t>
      </w:r>
      <w:r w:rsidR="00DD392B">
        <w:t xml:space="preserve">, we would have </w:t>
      </w:r>
      <w:r w:rsidR="00DD392B" w:rsidRPr="00DD392B">
        <w:t>75.49 %</w:t>
      </w:r>
      <w:r w:rsidR="00DD392B">
        <w:t xml:space="preserve"> power to detect a zero effect</w:t>
      </w:r>
      <w:r w:rsidRPr="00C07064">
        <w:t xml:space="preserve">. </w:t>
      </w:r>
      <w:r w:rsidR="00DD392B">
        <w:t>In other words</w:t>
      </w:r>
      <w:r w:rsidR="004B4D56" w:rsidRPr="00C07064">
        <w:t xml:space="preserve">, we would </w:t>
      </w:r>
      <w:r w:rsidR="00DD392B">
        <w:t xml:space="preserve">have 75.49% power </w:t>
      </w:r>
      <w:r w:rsidR="004B4D56" w:rsidRPr="00C07064">
        <w:t>to confirm that there is truly no difference</w:t>
      </w:r>
      <w:r w:rsidR="00DD392B">
        <w:t xml:space="preserve"> of interest</w:t>
      </w:r>
      <w:r w:rsidR="004B4D56" w:rsidRPr="00C07064">
        <w:t xml:space="preserve"> in IQ between avengers with superpowers</w:t>
      </w:r>
      <w:r w:rsidR="007201ED">
        <w:t xml:space="preserve"> compared to avengers without superpowers</w:t>
      </w:r>
      <w:r w:rsidR="004B4D56" w:rsidRPr="00C07064">
        <w:t xml:space="preserve"> with a total sample size of </w:t>
      </w:r>
      <w:r w:rsidR="004B4D56" w:rsidRPr="00C07064">
        <w:rPr>
          <w:i/>
          <w:iCs/>
        </w:rPr>
        <w:t>N</w:t>
      </w:r>
      <w:r w:rsidR="004B4D56" w:rsidRPr="00C07064">
        <w:t>=</w:t>
      </w:r>
      <w:r w:rsidR="00DD392B">
        <w:t>788</w:t>
      </w:r>
      <w:r w:rsidR="004B4D56" w:rsidRPr="00C07064">
        <w:t xml:space="preserve">. </w:t>
      </w:r>
    </w:p>
    <w:p w14:paraId="7E21B276" w14:textId="5596A4AD" w:rsidR="004B4D56" w:rsidRPr="00C07064" w:rsidRDefault="004B4D56" w:rsidP="00D7748D">
      <w:pPr>
        <w:pStyle w:val="Default"/>
        <w:snapToGrid w:val="0"/>
        <w:spacing w:line="480" w:lineRule="auto"/>
        <w:ind w:firstLine="720"/>
        <w:contextualSpacing/>
      </w:pPr>
      <w:r w:rsidRPr="00C07064">
        <w:t>An independent samples t-test was performed to compare the means of the two groups</w:t>
      </w:r>
      <w:r w:rsidR="005A0294">
        <w:t xml:space="preserve"> from the </w:t>
      </w:r>
      <w:commentRangeStart w:id="1"/>
      <w:r w:rsidR="005A0294">
        <w:t>existing pool of collected data</w:t>
      </w:r>
      <w:commentRangeEnd w:id="1"/>
      <w:r w:rsidR="00733140">
        <w:rPr>
          <w:rStyle w:val="CommentReference"/>
          <w:rFonts w:asciiTheme="minorHAnsi" w:hAnsiTheme="minorHAnsi" w:cstheme="minorBidi"/>
          <w:color w:val="auto"/>
        </w:rPr>
        <w:commentReference w:id="1"/>
      </w:r>
      <w:r w:rsidRPr="00C07064">
        <w:t xml:space="preserve">, </w:t>
      </w:r>
      <w:r w:rsidR="006217E8">
        <w:t xml:space="preserve">and the </w:t>
      </w:r>
      <w:proofErr w:type="spellStart"/>
      <w:r w:rsidRPr="00C07064">
        <w:t>the</w:t>
      </w:r>
      <w:proofErr w:type="spellEnd"/>
      <w:r w:rsidRPr="00C07064">
        <w:t xml:space="preserve"> t-statistic was </w:t>
      </w:r>
      <w:r w:rsidR="006217E8">
        <w:t xml:space="preserve">found to be </w:t>
      </w:r>
      <w:r w:rsidRPr="00C07064">
        <w:t>4.2</w:t>
      </w:r>
      <w:r w:rsidR="006217E8">
        <w:t xml:space="preserve">5. </w:t>
      </w:r>
      <w:r w:rsidRPr="00C07064">
        <w:t xml:space="preserve">Using the </w:t>
      </w:r>
      <w:proofErr w:type="spellStart"/>
      <w:r w:rsidRPr="00C07064">
        <w:rPr>
          <w:i/>
          <w:iCs/>
        </w:rPr>
        <w:t>effectsize</w:t>
      </w:r>
      <w:proofErr w:type="spellEnd"/>
      <w:r w:rsidRPr="00C07064">
        <w:t xml:space="preserve"> package (Ben-</w:t>
      </w:r>
      <w:proofErr w:type="spellStart"/>
      <w:r w:rsidRPr="00C07064">
        <w:t>Shachar</w:t>
      </w:r>
      <w:proofErr w:type="spellEnd"/>
      <w:r w:rsidRPr="00C07064">
        <w:t xml:space="preserve">, </w:t>
      </w:r>
      <w:proofErr w:type="spellStart"/>
      <w:r w:rsidRPr="00C07064">
        <w:t>Lüdecke</w:t>
      </w:r>
      <w:proofErr w:type="spellEnd"/>
      <w:r w:rsidRPr="00C07064">
        <w:t xml:space="preserve"> &amp; Makowski, 2020)</w:t>
      </w:r>
      <w:r w:rsidR="006217E8">
        <w:t xml:space="preserve">, </w:t>
      </w:r>
      <w:r w:rsidRPr="00C07064">
        <w:t xml:space="preserve">a </w:t>
      </w:r>
      <w:r w:rsidR="00B21942">
        <w:t xml:space="preserve">small </w:t>
      </w:r>
      <w:r w:rsidRPr="00C07064">
        <w:t xml:space="preserve">Cohen’s effect size of </w:t>
      </w:r>
      <w:r w:rsidRPr="00C07064">
        <w:rPr>
          <w:i/>
          <w:iCs/>
        </w:rPr>
        <w:t>d</w:t>
      </w:r>
      <w:r w:rsidRPr="00C07064">
        <w:t xml:space="preserve">=0.30 (95%CI [0.16, 0.44]) was determined, </w:t>
      </w:r>
      <w:r w:rsidR="007201ED">
        <w:t xml:space="preserve">indicating a mean difference in the IQ of avengers with and without superpowers with a </w:t>
      </w:r>
      <w:r w:rsidRPr="00C07064">
        <w:t xml:space="preserve">small effect. Whether or not the CI is precise is dependent on the context of the research question, and whether the magnitude of the range of the CI is meaningful within this context. </w:t>
      </w:r>
      <w:r w:rsidR="007201ED">
        <w:t xml:space="preserve">Given that the smallest effect size of practical significance was designated as </w:t>
      </w:r>
      <w:r w:rsidR="007201ED" w:rsidRPr="007201ED">
        <w:rPr>
          <w:i/>
          <w:iCs/>
        </w:rPr>
        <w:t>d</w:t>
      </w:r>
      <w:r w:rsidR="007201ED">
        <w:t xml:space="preserve">=0.2, </w:t>
      </w:r>
      <w:r w:rsidR="00CC044B">
        <w:t>though this value falls within the range of the CI, the lower bound of the CI is below the smallest effect size of practical significance, and thus, this confidence interval is not narrow enough to be considered precise</w:t>
      </w:r>
      <w:r w:rsidR="002F535B">
        <w:t xml:space="preserve"> and we cannot be certain that the true value in the population lies above the smallest effect size of practical significance</w:t>
      </w:r>
      <w:r w:rsidR="00CC044B">
        <w:t xml:space="preserve">. </w:t>
      </w:r>
    </w:p>
    <w:p w14:paraId="17C2763B" w14:textId="77777777" w:rsidR="007C0953" w:rsidRDefault="007C0953" w:rsidP="003B30A1">
      <w:pPr>
        <w:pStyle w:val="Default"/>
        <w:jc w:val="center"/>
        <w:rPr>
          <w:b/>
          <w:bCs/>
        </w:rPr>
      </w:pPr>
    </w:p>
    <w:p w14:paraId="6953CCE8" w14:textId="77777777" w:rsidR="007C0953" w:rsidRDefault="007C0953" w:rsidP="003B30A1">
      <w:pPr>
        <w:pStyle w:val="Default"/>
        <w:jc w:val="center"/>
        <w:rPr>
          <w:b/>
          <w:bCs/>
        </w:rPr>
      </w:pPr>
    </w:p>
    <w:p w14:paraId="545B04DA" w14:textId="77777777" w:rsidR="007C0953" w:rsidRDefault="007C0953" w:rsidP="003B30A1">
      <w:pPr>
        <w:pStyle w:val="Default"/>
        <w:jc w:val="center"/>
        <w:rPr>
          <w:b/>
          <w:bCs/>
        </w:rPr>
      </w:pPr>
    </w:p>
    <w:p w14:paraId="25D97EC8" w14:textId="77777777" w:rsidR="007C0953" w:rsidRDefault="007C0953" w:rsidP="003B30A1">
      <w:pPr>
        <w:pStyle w:val="Default"/>
        <w:jc w:val="center"/>
        <w:rPr>
          <w:b/>
          <w:bCs/>
        </w:rPr>
      </w:pPr>
    </w:p>
    <w:p w14:paraId="1B03F29A" w14:textId="77777777" w:rsidR="007C0953" w:rsidRDefault="007C0953" w:rsidP="003B30A1">
      <w:pPr>
        <w:pStyle w:val="Default"/>
        <w:jc w:val="center"/>
        <w:rPr>
          <w:b/>
          <w:bCs/>
        </w:rPr>
      </w:pPr>
    </w:p>
    <w:p w14:paraId="790C787E" w14:textId="77777777" w:rsidR="007C0953" w:rsidRDefault="007C0953" w:rsidP="003B30A1">
      <w:pPr>
        <w:pStyle w:val="Default"/>
        <w:jc w:val="center"/>
        <w:rPr>
          <w:b/>
          <w:bCs/>
        </w:rPr>
      </w:pPr>
    </w:p>
    <w:p w14:paraId="766481FD" w14:textId="77777777" w:rsidR="007C0953" w:rsidRDefault="007C0953" w:rsidP="003B30A1">
      <w:pPr>
        <w:pStyle w:val="Default"/>
        <w:jc w:val="center"/>
        <w:rPr>
          <w:b/>
          <w:bCs/>
        </w:rPr>
      </w:pPr>
    </w:p>
    <w:p w14:paraId="70B20974" w14:textId="77777777" w:rsidR="007C0953" w:rsidRDefault="007C0953" w:rsidP="003B30A1">
      <w:pPr>
        <w:pStyle w:val="Default"/>
        <w:jc w:val="center"/>
        <w:rPr>
          <w:b/>
          <w:bCs/>
        </w:rPr>
      </w:pPr>
    </w:p>
    <w:p w14:paraId="1AB3516E" w14:textId="77777777" w:rsidR="007C0953" w:rsidRDefault="007C0953" w:rsidP="003B30A1">
      <w:pPr>
        <w:pStyle w:val="Default"/>
        <w:jc w:val="center"/>
        <w:rPr>
          <w:b/>
          <w:bCs/>
        </w:rPr>
      </w:pPr>
    </w:p>
    <w:p w14:paraId="121588B1" w14:textId="77777777" w:rsidR="007C0953" w:rsidRDefault="007C0953" w:rsidP="003B30A1">
      <w:pPr>
        <w:pStyle w:val="Default"/>
        <w:jc w:val="center"/>
        <w:rPr>
          <w:b/>
          <w:bCs/>
        </w:rPr>
      </w:pPr>
    </w:p>
    <w:p w14:paraId="5ABD2623" w14:textId="77777777" w:rsidR="007C0953" w:rsidRDefault="007C0953" w:rsidP="003B30A1">
      <w:pPr>
        <w:pStyle w:val="Default"/>
        <w:jc w:val="center"/>
        <w:rPr>
          <w:b/>
          <w:bCs/>
        </w:rPr>
      </w:pPr>
    </w:p>
    <w:p w14:paraId="5F795460" w14:textId="77777777" w:rsidR="007C0953" w:rsidRDefault="007C0953" w:rsidP="003B30A1">
      <w:pPr>
        <w:pStyle w:val="Default"/>
        <w:jc w:val="center"/>
        <w:rPr>
          <w:b/>
          <w:bCs/>
        </w:rPr>
      </w:pPr>
    </w:p>
    <w:p w14:paraId="68432ADB" w14:textId="77777777" w:rsidR="00B21942" w:rsidRDefault="00B21942" w:rsidP="003B30A1">
      <w:pPr>
        <w:pStyle w:val="Default"/>
        <w:jc w:val="center"/>
        <w:rPr>
          <w:b/>
          <w:bCs/>
        </w:rPr>
      </w:pPr>
    </w:p>
    <w:p w14:paraId="0E7F2971" w14:textId="77777777" w:rsidR="00B21942" w:rsidRDefault="00B21942" w:rsidP="003B30A1">
      <w:pPr>
        <w:pStyle w:val="Default"/>
        <w:jc w:val="center"/>
        <w:rPr>
          <w:b/>
          <w:bCs/>
        </w:rPr>
      </w:pPr>
    </w:p>
    <w:p w14:paraId="3443E0C5" w14:textId="77777777" w:rsidR="00B21942" w:rsidRDefault="00B21942" w:rsidP="003B30A1">
      <w:pPr>
        <w:pStyle w:val="Default"/>
        <w:jc w:val="center"/>
        <w:rPr>
          <w:b/>
          <w:bCs/>
        </w:rPr>
      </w:pPr>
    </w:p>
    <w:p w14:paraId="06716B0C" w14:textId="77777777" w:rsidR="00B21942" w:rsidRDefault="00B21942" w:rsidP="003B30A1">
      <w:pPr>
        <w:pStyle w:val="Default"/>
        <w:jc w:val="center"/>
        <w:rPr>
          <w:b/>
          <w:bCs/>
        </w:rPr>
      </w:pPr>
    </w:p>
    <w:p w14:paraId="36AD4589" w14:textId="77777777" w:rsidR="00B21942" w:rsidRDefault="00B21942" w:rsidP="003B30A1">
      <w:pPr>
        <w:pStyle w:val="Default"/>
        <w:jc w:val="center"/>
        <w:rPr>
          <w:b/>
          <w:bCs/>
        </w:rPr>
      </w:pPr>
    </w:p>
    <w:p w14:paraId="3E4DABDD" w14:textId="77777777" w:rsidR="00B21942" w:rsidRDefault="00B21942" w:rsidP="003B30A1">
      <w:pPr>
        <w:pStyle w:val="Default"/>
        <w:jc w:val="center"/>
        <w:rPr>
          <w:b/>
          <w:bCs/>
        </w:rPr>
      </w:pPr>
    </w:p>
    <w:p w14:paraId="241CC051" w14:textId="77777777" w:rsidR="00B21942" w:rsidRDefault="00B21942" w:rsidP="003B30A1">
      <w:pPr>
        <w:pStyle w:val="Default"/>
        <w:jc w:val="center"/>
        <w:rPr>
          <w:b/>
          <w:bCs/>
        </w:rPr>
      </w:pPr>
    </w:p>
    <w:p w14:paraId="7B0642A6" w14:textId="77777777" w:rsidR="00B21942" w:rsidRDefault="00B21942" w:rsidP="003B30A1">
      <w:pPr>
        <w:pStyle w:val="Default"/>
        <w:jc w:val="center"/>
        <w:rPr>
          <w:b/>
          <w:bCs/>
        </w:rPr>
      </w:pPr>
    </w:p>
    <w:p w14:paraId="062435B6" w14:textId="7E0AAFC6" w:rsidR="003B30A1" w:rsidRDefault="003B30A1" w:rsidP="003B30A1">
      <w:pPr>
        <w:pStyle w:val="Default"/>
        <w:jc w:val="center"/>
        <w:rPr>
          <w:b/>
          <w:bCs/>
        </w:rPr>
      </w:pPr>
      <w:r w:rsidRPr="003B30A1">
        <w:rPr>
          <w:b/>
          <w:bCs/>
        </w:rPr>
        <w:t>References</w:t>
      </w:r>
    </w:p>
    <w:p w14:paraId="3F1106F7" w14:textId="77777777" w:rsidR="003B30A1" w:rsidRPr="003B30A1" w:rsidRDefault="003B30A1" w:rsidP="003B30A1">
      <w:pPr>
        <w:pStyle w:val="Default"/>
        <w:jc w:val="center"/>
        <w:rPr>
          <w:b/>
          <w:bCs/>
        </w:rPr>
      </w:pPr>
    </w:p>
    <w:p w14:paraId="362D3965" w14:textId="50D524A0" w:rsidR="003B30A1" w:rsidRDefault="003B30A1" w:rsidP="003B30A1">
      <w:pPr>
        <w:pStyle w:val="Default"/>
        <w:spacing w:line="480" w:lineRule="auto"/>
        <w:ind w:left="720" w:hanging="720"/>
      </w:pPr>
      <w:r>
        <w:t>Ben-</w:t>
      </w:r>
      <w:proofErr w:type="spellStart"/>
      <w:r>
        <w:t>Shachar</w:t>
      </w:r>
      <w:proofErr w:type="spellEnd"/>
      <w:r>
        <w:t xml:space="preserve">, M., </w:t>
      </w:r>
      <w:proofErr w:type="spellStart"/>
      <w:r>
        <w:t>Lüdecke</w:t>
      </w:r>
      <w:proofErr w:type="spellEnd"/>
      <w:r>
        <w:t xml:space="preserve">, D., &amp; Makowski, D. (2020). </w:t>
      </w:r>
      <w:proofErr w:type="spellStart"/>
      <w:r>
        <w:t>effectsize</w:t>
      </w:r>
      <w:proofErr w:type="spellEnd"/>
      <w:r>
        <w:t xml:space="preserve">: Estimation of Effect Size Indices and Standardized Parameters. </w:t>
      </w:r>
      <w:r w:rsidRPr="003B30A1">
        <w:rPr>
          <w:i/>
          <w:iCs/>
        </w:rPr>
        <w:t xml:space="preserve">Journal of </w:t>
      </w:r>
      <w:proofErr w:type="gramStart"/>
      <w:r w:rsidRPr="003B30A1">
        <w:rPr>
          <w:i/>
          <w:iCs/>
        </w:rPr>
        <w:t>Open Source</w:t>
      </w:r>
      <w:proofErr w:type="gramEnd"/>
      <w:r w:rsidRPr="003B30A1">
        <w:rPr>
          <w:i/>
          <w:iCs/>
        </w:rPr>
        <w:t xml:space="preserve"> Software</w:t>
      </w:r>
      <w:r>
        <w:t xml:space="preserve">, </w:t>
      </w:r>
      <w:r w:rsidRPr="003B30A1">
        <w:rPr>
          <w:i/>
          <w:iCs/>
        </w:rPr>
        <w:t>5</w:t>
      </w:r>
      <w:r>
        <w:t>(56), 2815. https://doi.org/10.21105/joss.02815</w:t>
      </w:r>
    </w:p>
    <w:p w14:paraId="0E9B27F8" w14:textId="43DA6841" w:rsidR="003B30A1" w:rsidRPr="00B21942" w:rsidRDefault="003B30A1" w:rsidP="003B30A1">
      <w:pPr>
        <w:pStyle w:val="Default"/>
        <w:spacing w:line="480" w:lineRule="auto"/>
        <w:ind w:left="720" w:hanging="720"/>
        <w:rPr>
          <w:lang w:val="fr-FR"/>
        </w:rPr>
      </w:pPr>
      <w:proofErr w:type="spellStart"/>
      <w:r>
        <w:t>Champely</w:t>
      </w:r>
      <w:proofErr w:type="spellEnd"/>
      <w:r>
        <w:t>, S. (2020).</w:t>
      </w:r>
      <w:r>
        <w:t xml:space="preserve"> </w:t>
      </w:r>
      <w:proofErr w:type="spellStart"/>
      <w:r w:rsidRPr="002F535B">
        <w:t>pwr</w:t>
      </w:r>
      <w:proofErr w:type="spellEnd"/>
      <w:r w:rsidRPr="002F535B">
        <w:t>: Basic Functions for Power Analysis</w:t>
      </w:r>
      <w:r>
        <w:t xml:space="preserve">. </w:t>
      </w:r>
      <w:r w:rsidRPr="00B21942">
        <w:rPr>
          <w:lang w:val="fr-FR"/>
        </w:rPr>
        <w:t xml:space="preserve">R package version 1.3-0. </w:t>
      </w:r>
      <w:r w:rsidR="00B21942" w:rsidRPr="00B21942">
        <w:rPr>
          <w:lang w:val="fr-FR"/>
        </w:rPr>
        <w:t>https://CRAN.R-project.org/package=pwr</w:t>
      </w:r>
    </w:p>
    <w:p w14:paraId="7EB199DC" w14:textId="3484C021" w:rsidR="00B21942" w:rsidRDefault="00B21942" w:rsidP="003B30A1">
      <w:pPr>
        <w:pStyle w:val="Default"/>
        <w:spacing w:line="480" w:lineRule="auto"/>
        <w:ind w:left="720" w:hanging="720"/>
      </w:pPr>
      <w:proofErr w:type="spellStart"/>
      <w:r w:rsidRPr="00B21942">
        <w:rPr>
          <w:lang w:val="en-CA"/>
        </w:rPr>
        <w:t>Lakens</w:t>
      </w:r>
      <w:proofErr w:type="spellEnd"/>
      <w:r w:rsidRPr="00B21942">
        <w:rPr>
          <w:lang w:val="en-CA"/>
        </w:rPr>
        <w:t xml:space="preserve">, D. (2017). Equivalence tests: A practical primer for t-tests, correlations, and meta-analyses. </w:t>
      </w:r>
      <w:r w:rsidRPr="00B21942">
        <w:rPr>
          <w:i/>
          <w:iCs/>
          <w:lang w:val="en-CA"/>
        </w:rPr>
        <w:t>Social Psychological and Personality Science, 8</w:t>
      </w:r>
      <w:r w:rsidRPr="00B21942">
        <w:rPr>
          <w:lang w:val="en-CA"/>
        </w:rPr>
        <w:t>(4), 355-362. DOI: 10.1177/1948550617697177</w:t>
      </w:r>
    </w:p>
    <w:p w14:paraId="02C9B6C3" w14:textId="604658BB" w:rsidR="003B30A1" w:rsidRDefault="003B30A1" w:rsidP="003B30A1">
      <w:pPr>
        <w:pStyle w:val="Default"/>
        <w:spacing w:line="480" w:lineRule="auto"/>
        <w:ind w:left="720" w:hanging="720"/>
      </w:pPr>
      <w:r>
        <w:t xml:space="preserve">R Core Team. (2023). </w:t>
      </w:r>
      <w:r w:rsidRPr="002F535B">
        <w:t>R: A Language and Environment for Statistical Computing</w:t>
      </w:r>
      <w:r>
        <w:t>. R Foundation for Statistical Computing. https://www.R-project.org/</w:t>
      </w:r>
    </w:p>
    <w:p w14:paraId="16ADAD77" w14:textId="6EF62F91" w:rsidR="00C01B74" w:rsidRDefault="003B30A1" w:rsidP="003B30A1">
      <w:pPr>
        <w:pStyle w:val="Default"/>
        <w:spacing w:line="480" w:lineRule="auto"/>
        <w:ind w:left="720" w:hanging="720"/>
      </w:pPr>
      <w:r>
        <w:t xml:space="preserve">Wickham, H., </w:t>
      </w:r>
      <w:proofErr w:type="spellStart"/>
      <w:r>
        <w:t>Averick</w:t>
      </w:r>
      <w:proofErr w:type="spellEnd"/>
      <w:r>
        <w:t xml:space="preserve">, M., Bryan, J., Chang, W., McGowan, L. D., François, R., ... </w:t>
      </w:r>
      <w:proofErr w:type="spellStart"/>
      <w:r>
        <w:t>Yutani</w:t>
      </w:r>
      <w:proofErr w:type="spellEnd"/>
      <w:r>
        <w:t xml:space="preserve">, H. (2019). Welcome to the </w:t>
      </w:r>
      <w:proofErr w:type="spellStart"/>
      <w:r>
        <w:t>tidyverse</w:t>
      </w:r>
      <w:proofErr w:type="spellEnd"/>
      <w:r>
        <w:t xml:space="preserve">. </w:t>
      </w:r>
      <w:r w:rsidRPr="003B30A1">
        <w:rPr>
          <w:i/>
          <w:iCs/>
        </w:rPr>
        <w:t xml:space="preserve">Journal of </w:t>
      </w:r>
      <w:proofErr w:type="gramStart"/>
      <w:r w:rsidRPr="003B30A1">
        <w:rPr>
          <w:i/>
          <w:iCs/>
        </w:rPr>
        <w:t>Open Source</w:t>
      </w:r>
      <w:proofErr w:type="gramEnd"/>
      <w:r w:rsidRPr="003B30A1">
        <w:rPr>
          <w:i/>
          <w:iCs/>
        </w:rPr>
        <w:t xml:space="preserve"> Software</w:t>
      </w:r>
      <w:r>
        <w:t xml:space="preserve">, </w:t>
      </w:r>
      <w:r w:rsidRPr="003B30A1">
        <w:rPr>
          <w:i/>
          <w:iCs/>
        </w:rPr>
        <w:t>4</w:t>
      </w:r>
      <w:r>
        <w:t xml:space="preserve">(43), 1686. </w:t>
      </w:r>
      <w:r w:rsidR="000948E8" w:rsidRPr="002F535B">
        <w:t>https://doi.org/10.21105/joss.01686</w:t>
      </w:r>
    </w:p>
    <w:p w14:paraId="56FC1F33" w14:textId="77777777" w:rsidR="000948E8" w:rsidRDefault="000948E8" w:rsidP="003B30A1">
      <w:pPr>
        <w:pStyle w:val="Default"/>
        <w:spacing w:line="480" w:lineRule="auto"/>
        <w:ind w:left="720" w:hanging="720"/>
      </w:pPr>
    </w:p>
    <w:p w14:paraId="35FC69FA" w14:textId="77777777" w:rsidR="007C0953" w:rsidRDefault="007C0953" w:rsidP="000948E8">
      <w:pPr>
        <w:snapToGrid w:val="0"/>
        <w:spacing w:after="540" w:line="480" w:lineRule="auto"/>
        <w:contextualSpacing/>
        <w:rPr>
          <w:b/>
          <w:bCs/>
        </w:rPr>
      </w:pPr>
    </w:p>
    <w:p w14:paraId="0953D6CF" w14:textId="77777777" w:rsidR="007C0953" w:rsidRDefault="007C0953" w:rsidP="000948E8">
      <w:pPr>
        <w:snapToGrid w:val="0"/>
        <w:spacing w:after="540" w:line="480" w:lineRule="auto"/>
        <w:contextualSpacing/>
        <w:rPr>
          <w:b/>
          <w:bCs/>
        </w:rPr>
      </w:pPr>
    </w:p>
    <w:p w14:paraId="5AF587D3" w14:textId="77777777" w:rsidR="007C0953" w:rsidRDefault="007C0953" w:rsidP="000948E8">
      <w:pPr>
        <w:snapToGrid w:val="0"/>
        <w:spacing w:after="540" w:line="480" w:lineRule="auto"/>
        <w:contextualSpacing/>
        <w:rPr>
          <w:b/>
          <w:bCs/>
        </w:rPr>
      </w:pPr>
    </w:p>
    <w:p w14:paraId="0123D56D" w14:textId="77777777" w:rsidR="007C0953" w:rsidRDefault="007C0953" w:rsidP="000948E8">
      <w:pPr>
        <w:snapToGrid w:val="0"/>
        <w:spacing w:after="540" w:line="480" w:lineRule="auto"/>
        <w:contextualSpacing/>
        <w:rPr>
          <w:b/>
          <w:bCs/>
        </w:rPr>
      </w:pPr>
    </w:p>
    <w:p w14:paraId="0804B033" w14:textId="77777777" w:rsidR="007C0953" w:rsidRDefault="007C0953" w:rsidP="000948E8">
      <w:pPr>
        <w:snapToGrid w:val="0"/>
        <w:spacing w:after="540" w:line="480" w:lineRule="auto"/>
        <w:contextualSpacing/>
        <w:rPr>
          <w:b/>
          <w:bCs/>
        </w:rPr>
      </w:pPr>
    </w:p>
    <w:p w14:paraId="09D12C83" w14:textId="77777777" w:rsidR="007C0953" w:rsidRDefault="007C0953" w:rsidP="000948E8">
      <w:pPr>
        <w:snapToGrid w:val="0"/>
        <w:spacing w:after="540" w:line="480" w:lineRule="auto"/>
        <w:contextualSpacing/>
        <w:rPr>
          <w:b/>
          <w:bCs/>
        </w:rPr>
      </w:pPr>
    </w:p>
    <w:p w14:paraId="37CDBA3D" w14:textId="77777777" w:rsidR="007C0953" w:rsidRDefault="007C0953" w:rsidP="000948E8">
      <w:pPr>
        <w:snapToGrid w:val="0"/>
        <w:spacing w:after="540" w:line="480" w:lineRule="auto"/>
        <w:contextualSpacing/>
        <w:rPr>
          <w:b/>
          <w:bCs/>
        </w:rPr>
      </w:pPr>
    </w:p>
    <w:p w14:paraId="2D46D0CE" w14:textId="77777777" w:rsidR="007C0953" w:rsidRDefault="007C0953" w:rsidP="000948E8">
      <w:pPr>
        <w:snapToGrid w:val="0"/>
        <w:spacing w:after="540" w:line="480" w:lineRule="auto"/>
        <w:contextualSpacing/>
        <w:rPr>
          <w:b/>
          <w:bCs/>
        </w:rPr>
      </w:pPr>
    </w:p>
    <w:p w14:paraId="143364BA" w14:textId="55E11B33" w:rsidR="000948E8" w:rsidRPr="008B75E1" w:rsidRDefault="000948E8" w:rsidP="000948E8">
      <w:pPr>
        <w:snapToGrid w:val="0"/>
        <w:spacing w:after="540" w:line="480" w:lineRule="auto"/>
        <w:contextualSpacing/>
        <w:rPr>
          <w:b/>
          <w:bCs/>
        </w:rPr>
      </w:pPr>
      <w:r w:rsidRPr="008B75E1">
        <w:rPr>
          <w:b/>
          <w:bCs/>
        </w:rPr>
        <w:t>Table 1</w:t>
      </w:r>
    </w:p>
    <w:p w14:paraId="12ABF6B6" w14:textId="77777777" w:rsidR="000948E8" w:rsidRPr="008B75E1" w:rsidRDefault="000948E8" w:rsidP="000948E8">
      <w:pPr>
        <w:snapToGrid w:val="0"/>
        <w:spacing w:after="540" w:line="480" w:lineRule="auto"/>
        <w:contextualSpacing/>
        <w:rPr>
          <w:i/>
          <w:iCs/>
        </w:rPr>
      </w:pPr>
      <w:r>
        <w:rPr>
          <w:i/>
          <w:iCs/>
        </w:rPr>
        <w:t xml:space="preserve">Sample characteristics for North and South </w:t>
      </w:r>
      <w:proofErr w:type="gramStart"/>
      <w:r>
        <w:rPr>
          <w:i/>
          <w:iCs/>
        </w:rPr>
        <w:t>battlefields</w:t>
      </w:r>
      <w:proofErr w:type="gramEnd"/>
    </w:p>
    <w:tbl>
      <w:tblPr>
        <w:tblStyle w:val="TableGrid"/>
        <w:tblW w:w="0" w:type="auto"/>
        <w:tblLayout w:type="fixed"/>
        <w:tblLook w:val="04A0" w:firstRow="1" w:lastRow="0" w:firstColumn="1" w:lastColumn="0" w:noHBand="0" w:noVBand="1"/>
      </w:tblPr>
      <w:tblGrid>
        <w:gridCol w:w="2329"/>
        <w:gridCol w:w="1756"/>
        <w:gridCol w:w="1616"/>
        <w:gridCol w:w="1756"/>
        <w:gridCol w:w="1496"/>
      </w:tblGrid>
      <w:tr w:rsidR="000948E8" w:rsidRPr="00F91879" w14:paraId="7971979D" w14:textId="77777777" w:rsidTr="00733140">
        <w:tc>
          <w:tcPr>
            <w:tcW w:w="2329" w:type="dxa"/>
            <w:tcBorders>
              <w:bottom w:val="nil"/>
              <w:right w:val="nil"/>
            </w:tcBorders>
            <w:vAlign w:val="center"/>
          </w:tcPr>
          <w:p w14:paraId="6A244E00" w14:textId="7F481844" w:rsidR="000948E8" w:rsidRPr="00F91879" w:rsidRDefault="007C0953" w:rsidP="002A4B4F">
            <w:pPr>
              <w:snapToGrid w:val="0"/>
              <w:spacing w:after="540"/>
              <w:contextualSpacing/>
              <w:jc w:val="center"/>
            </w:pPr>
            <w:r>
              <w:t>Characteristic</w:t>
            </w:r>
          </w:p>
        </w:tc>
        <w:tc>
          <w:tcPr>
            <w:tcW w:w="3372" w:type="dxa"/>
            <w:gridSpan w:val="2"/>
            <w:tcBorders>
              <w:left w:val="nil"/>
              <w:right w:val="nil"/>
            </w:tcBorders>
            <w:vAlign w:val="center"/>
          </w:tcPr>
          <w:p w14:paraId="0DD14473" w14:textId="77777777" w:rsidR="000948E8" w:rsidRPr="00F91879" w:rsidRDefault="000948E8" w:rsidP="002A4B4F">
            <w:pPr>
              <w:snapToGrid w:val="0"/>
              <w:spacing w:after="540"/>
              <w:contextualSpacing/>
              <w:jc w:val="center"/>
            </w:pPr>
            <w:r w:rsidRPr="00F91879">
              <w:t>North Battlefield</w:t>
            </w:r>
          </w:p>
        </w:tc>
        <w:tc>
          <w:tcPr>
            <w:tcW w:w="3252" w:type="dxa"/>
            <w:gridSpan w:val="2"/>
            <w:tcBorders>
              <w:left w:val="nil"/>
            </w:tcBorders>
            <w:vAlign w:val="center"/>
          </w:tcPr>
          <w:p w14:paraId="303B9937" w14:textId="77777777" w:rsidR="000948E8" w:rsidRPr="00F91879" w:rsidRDefault="000948E8" w:rsidP="002A4B4F">
            <w:pPr>
              <w:snapToGrid w:val="0"/>
              <w:spacing w:after="540"/>
              <w:contextualSpacing/>
              <w:jc w:val="center"/>
            </w:pPr>
            <w:r w:rsidRPr="00F91879">
              <w:t>South Battlefield</w:t>
            </w:r>
          </w:p>
        </w:tc>
      </w:tr>
      <w:tr w:rsidR="00733140" w:rsidRPr="00F91879" w14:paraId="7C21F468" w14:textId="77777777" w:rsidTr="00733140">
        <w:tc>
          <w:tcPr>
            <w:tcW w:w="2329" w:type="dxa"/>
            <w:tcBorders>
              <w:top w:val="nil"/>
              <w:bottom w:val="single" w:sz="4" w:space="0" w:color="auto"/>
              <w:right w:val="nil"/>
            </w:tcBorders>
            <w:vAlign w:val="center"/>
          </w:tcPr>
          <w:p w14:paraId="15D24A90" w14:textId="77777777" w:rsidR="000948E8" w:rsidRPr="00F91879" w:rsidRDefault="000948E8" w:rsidP="002A4B4F">
            <w:pPr>
              <w:snapToGrid w:val="0"/>
              <w:spacing w:after="540"/>
              <w:contextualSpacing/>
              <w:jc w:val="center"/>
            </w:pPr>
          </w:p>
        </w:tc>
        <w:tc>
          <w:tcPr>
            <w:tcW w:w="1756" w:type="dxa"/>
            <w:tcBorders>
              <w:left w:val="nil"/>
              <w:bottom w:val="single" w:sz="4" w:space="0" w:color="auto"/>
              <w:right w:val="nil"/>
            </w:tcBorders>
            <w:vAlign w:val="center"/>
          </w:tcPr>
          <w:p w14:paraId="3F8338C6" w14:textId="77777777" w:rsidR="000948E8" w:rsidRPr="00F91879" w:rsidRDefault="000948E8" w:rsidP="002A4B4F">
            <w:pPr>
              <w:snapToGrid w:val="0"/>
              <w:spacing w:after="540"/>
              <w:contextualSpacing/>
              <w:jc w:val="center"/>
            </w:pPr>
            <w:r w:rsidRPr="00F91879">
              <w:t>Mean (SD)</w:t>
            </w:r>
          </w:p>
        </w:tc>
        <w:tc>
          <w:tcPr>
            <w:tcW w:w="1616" w:type="dxa"/>
            <w:tcBorders>
              <w:left w:val="nil"/>
              <w:bottom w:val="single" w:sz="4" w:space="0" w:color="auto"/>
              <w:right w:val="nil"/>
            </w:tcBorders>
            <w:vAlign w:val="center"/>
          </w:tcPr>
          <w:p w14:paraId="2825E231" w14:textId="77777777" w:rsidR="000948E8" w:rsidRPr="00F91879" w:rsidRDefault="000948E8" w:rsidP="002A4B4F">
            <w:pPr>
              <w:snapToGrid w:val="0"/>
              <w:spacing w:after="540"/>
              <w:contextualSpacing/>
              <w:jc w:val="center"/>
            </w:pPr>
            <w:r w:rsidRPr="00F91879">
              <w:t>Range</w:t>
            </w:r>
          </w:p>
        </w:tc>
        <w:tc>
          <w:tcPr>
            <w:tcW w:w="1756" w:type="dxa"/>
            <w:tcBorders>
              <w:left w:val="nil"/>
              <w:bottom w:val="single" w:sz="4" w:space="0" w:color="auto"/>
              <w:right w:val="nil"/>
            </w:tcBorders>
            <w:vAlign w:val="center"/>
          </w:tcPr>
          <w:p w14:paraId="5063389B" w14:textId="77777777" w:rsidR="000948E8" w:rsidRPr="00F91879" w:rsidRDefault="000948E8" w:rsidP="002A4B4F">
            <w:pPr>
              <w:snapToGrid w:val="0"/>
              <w:spacing w:after="540"/>
              <w:contextualSpacing/>
              <w:jc w:val="center"/>
            </w:pPr>
            <w:r w:rsidRPr="00F91879">
              <w:t>Mean (SD)</w:t>
            </w:r>
          </w:p>
        </w:tc>
        <w:tc>
          <w:tcPr>
            <w:tcW w:w="1496" w:type="dxa"/>
            <w:tcBorders>
              <w:left w:val="nil"/>
              <w:bottom w:val="single" w:sz="4" w:space="0" w:color="auto"/>
            </w:tcBorders>
            <w:vAlign w:val="center"/>
          </w:tcPr>
          <w:p w14:paraId="097F851A" w14:textId="77777777" w:rsidR="000948E8" w:rsidRPr="00F91879" w:rsidRDefault="000948E8" w:rsidP="002A4B4F">
            <w:pPr>
              <w:snapToGrid w:val="0"/>
              <w:spacing w:after="540"/>
              <w:contextualSpacing/>
              <w:jc w:val="center"/>
            </w:pPr>
            <w:r w:rsidRPr="00F91879">
              <w:t>Range</w:t>
            </w:r>
          </w:p>
        </w:tc>
      </w:tr>
      <w:tr w:rsidR="00EF42D1" w:rsidRPr="00F91879" w14:paraId="402A95CA" w14:textId="77777777" w:rsidTr="00EF42D1">
        <w:trPr>
          <w:trHeight w:val="510"/>
        </w:trPr>
        <w:tc>
          <w:tcPr>
            <w:tcW w:w="2329" w:type="dxa"/>
            <w:tcBorders>
              <w:bottom w:val="nil"/>
              <w:right w:val="nil"/>
            </w:tcBorders>
            <w:vAlign w:val="bottom"/>
          </w:tcPr>
          <w:p w14:paraId="4823E0D0" w14:textId="77777777" w:rsidR="00EF42D1" w:rsidRDefault="00EF42D1" w:rsidP="00EF42D1">
            <w:pPr>
              <w:snapToGrid w:val="0"/>
              <w:spacing w:after="540"/>
              <w:contextualSpacing/>
              <w:jc w:val="center"/>
            </w:pPr>
            <w:r w:rsidRPr="00F91879">
              <w:t>Combat Effectiveness</w:t>
            </w:r>
          </w:p>
          <w:p w14:paraId="3DAA424D" w14:textId="5C601DD1" w:rsidR="00EF42D1" w:rsidRPr="00F91879" w:rsidRDefault="00EF42D1" w:rsidP="00EF42D1">
            <w:pPr>
              <w:snapToGrid w:val="0"/>
              <w:spacing w:after="540"/>
              <w:contextualSpacing/>
              <w:jc w:val="center"/>
            </w:pPr>
          </w:p>
        </w:tc>
        <w:tc>
          <w:tcPr>
            <w:tcW w:w="1756" w:type="dxa"/>
            <w:tcBorders>
              <w:top w:val="nil"/>
              <w:left w:val="nil"/>
              <w:bottom w:val="nil"/>
              <w:right w:val="nil"/>
            </w:tcBorders>
          </w:tcPr>
          <w:p w14:paraId="47BE5BDD" w14:textId="733CF4BE" w:rsidR="00EF42D1" w:rsidRPr="00F91879" w:rsidRDefault="00EF42D1" w:rsidP="00EF42D1">
            <w:pPr>
              <w:snapToGrid w:val="0"/>
              <w:spacing w:after="540" w:line="480" w:lineRule="auto"/>
              <w:contextualSpacing/>
              <w:rPr>
                <w:color w:val="000000"/>
              </w:rPr>
            </w:pPr>
            <w:r>
              <w:rPr>
                <w:color w:val="000000"/>
              </w:rPr>
              <w:t>499.78 (174.07)</w:t>
            </w:r>
          </w:p>
        </w:tc>
        <w:tc>
          <w:tcPr>
            <w:tcW w:w="1616" w:type="dxa"/>
            <w:tcBorders>
              <w:left w:val="nil"/>
              <w:bottom w:val="nil"/>
              <w:right w:val="nil"/>
            </w:tcBorders>
          </w:tcPr>
          <w:p w14:paraId="6CD70998" w14:textId="12EB6864" w:rsidR="00EF42D1" w:rsidRPr="00F91879" w:rsidRDefault="00EF42D1" w:rsidP="00EF42D1">
            <w:pPr>
              <w:snapToGrid w:val="0"/>
              <w:spacing w:after="540"/>
              <w:contextualSpacing/>
              <w:jc w:val="center"/>
            </w:pPr>
            <w:r w:rsidRPr="00F91879">
              <w:t>130.68-897.06</w:t>
            </w:r>
          </w:p>
        </w:tc>
        <w:tc>
          <w:tcPr>
            <w:tcW w:w="1756" w:type="dxa"/>
            <w:tcBorders>
              <w:left w:val="nil"/>
              <w:bottom w:val="nil"/>
              <w:right w:val="nil"/>
            </w:tcBorders>
          </w:tcPr>
          <w:p w14:paraId="10980408" w14:textId="5CA76123" w:rsidR="00EF42D1" w:rsidRPr="00F91879" w:rsidRDefault="00EF42D1" w:rsidP="00EF42D1">
            <w:pPr>
              <w:snapToGrid w:val="0"/>
              <w:spacing w:after="540"/>
              <w:contextualSpacing/>
              <w:jc w:val="center"/>
            </w:pPr>
            <w:r w:rsidRPr="00F91879">
              <w:rPr>
                <w:color w:val="000000"/>
              </w:rPr>
              <w:t>491.68 (189.53)</w:t>
            </w:r>
          </w:p>
        </w:tc>
        <w:tc>
          <w:tcPr>
            <w:tcW w:w="1496" w:type="dxa"/>
            <w:tcBorders>
              <w:left w:val="nil"/>
              <w:bottom w:val="nil"/>
            </w:tcBorders>
          </w:tcPr>
          <w:p w14:paraId="32DF6B77" w14:textId="036C3292" w:rsidR="00EF42D1" w:rsidRPr="00F91879" w:rsidRDefault="00EF42D1" w:rsidP="00EF42D1">
            <w:pPr>
              <w:snapToGrid w:val="0"/>
              <w:spacing w:after="540"/>
              <w:contextualSpacing/>
              <w:jc w:val="center"/>
            </w:pPr>
            <w:r w:rsidRPr="00F91879">
              <w:t>67.25-946.89</w:t>
            </w:r>
          </w:p>
        </w:tc>
      </w:tr>
      <w:tr w:rsidR="00EF42D1" w:rsidRPr="00F91879" w14:paraId="5D93F5F6" w14:textId="77777777" w:rsidTr="009772B3">
        <w:tc>
          <w:tcPr>
            <w:tcW w:w="2329" w:type="dxa"/>
            <w:tcBorders>
              <w:top w:val="nil"/>
              <w:bottom w:val="nil"/>
              <w:right w:val="nil"/>
            </w:tcBorders>
            <w:vAlign w:val="center"/>
          </w:tcPr>
          <w:p w14:paraId="3CC12CE4" w14:textId="77777777" w:rsidR="00EF42D1" w:rsidRDefault="00EF42D1" w:rsidP="00EF42D1">
            <w:pPr>
              <w:snapToGrid w:val="0"/>
              <w:spacing w:after="540"/>
              <w:contextualSpacing/>
              <w:jc w:val="center"/>
            </w:pPr>
            <w:r w:rsidRPr="00F91879">
              <w:t>Kills</w:t>
            </w:r>
          </w:p>
          <w:p w14:paraId="59E3FDBE" w14:textId="77777777" w:rsidR="00EF42D1" w:rsidRPr="00F91879" w:rsidRDefault="00EF42D1" w:rsidP="00EF42D1">
            <w:pPr>
              <w:snapToGrid w:val="0"/>
              <w:spacing w:after="540"/>
              <w:contextualSpacing/>
              <w:jc w:val="center"/>
            </w:pPr>
          </w:p>
        </w:tc>
        <w:tc>
          <w:tcPr>
            <w:tcW w:w="1756" w:type="dxa"/>
            <w:tcBorders>
              <w:top w:val="nil"/>
              <w:left w:val="nil"/>
              <w:bottom w:val="nil"/>
              <w:right w:val="nil"/>
            </w:tcBorders>
          </w:tcPr>
          <w:p w14:paraId="1A8A56D7" w14:textId="3113198E" w:rsidR="00EF42D1" w:rsidRPr="00F91879" w:rsidRDefault="00EF42D1" w:rsidP="00EF42D1">
            <w:pPr>
              <w:snapToGrid w:val="0"/>
              <w:spacing w:after="540"/>
              <w:contextualSpacing/>
              <w:jc w:val="center"/>
            </w:pPr>
            <w:r w:rsidRPr="00F91879">
              <w:rPr>
                <w:color w:val="000000"/>
              </w:rPr>
              <w:t>1.71 (4.57)</w:t>
            </w:r>
          </w:p>
        </w:tc>
        <w:tc>
          <w:tcPr>
            <w:tcW w:w="1616" w:type="dxa"/>
            <w:tcBorders>
              <w:top w:val="nil"/>
              <w:left w:val="nil"/>
              <w:bottom w:val="nil"/>
              <w:right w:val="nil"/>
            </w:tcBorders>
          </w:tcPr>
          <w:p w14:paraId="48323066" w14:textId="77777777" w:rsidR="00EF42D1" w:rsidRPr="00F91879" w:rsidRDefault="00EF42D1" w:rsidP="00EF42D1">
            <w:pPr>
              <w:snapToGrid w:val="0"/>
              <w:spacing w:after="540"/>
              <w:contextualSpacing/>
              <w:jc w:val="center"/>
            </w:pPr>
            <w:r w:rsidRPr="00F91879">
              <w:t>0-34</w:t>
            </w:r>
          </w:p>
        </w:tc>
        <w:tc>
          <w:tcPr>
            <w:tcW w:w="1756" w:type="dxa"/>
            <w:tcBorders>
              <w:top w:val="nil"/>
              <w:left w:val="nil"/>
              <w:bottom w:val="nil"/>
              <w:right w:val="nil"/>
            </w:tcBorders>
          </w:tcPr>
          <w:p w14:paraId="48779F08" w14:textId="77777777" w:rsidR="00EF42D1" w:rsidRPr="00F91879" w:rsidRDefault="00EF42D1" w:rsidP="00EF42D1">
            <w:pPr>
              <w:snapToGrid w:val="0"/>
              <w:spacing w:after="540"/>
              <w:contextualSpacing/>
              <w:jc w:val="center"/>
            </w:pPr>
            <w:r w:rsidRPr="00F91879">
              <w:t>4.75 (14.99)</w:t>
            </w:r>
          </w:p>
        </w:tc>
        <w:tc>
          <w:tcPr>
            <w:tcW w:w="1496" w:type="dxa"/>
            <w:tcBorders>
              <w:top w:val="nil"/>
              <w:left w:val="nil"/>
              <w:bottom w:val="nil"/>
            </w:tcBorders>
          </w:tcPr>
          <w:p w14:paraId="301CD7EA" w14:textId="77777777" w:rsidR="00EF42D1" w:rsidRPr="00F91879" w:rsidRDefault="00EF42D1" w:rsidP="00EF42D1">
            <w:pPr>
              <w:snapToGrid w:val="0"/>
              <w:spacing w:after="540"/>
              <w:contextualSpacing/>
              <w:jc w:val="center"/>
            </w:pPr>
            <w:r w:rsidRPr="00F91879">
              <w:t>0-79</w:t>
            </w:r>
          </w:p>
        </w:tc>
      </w:tr>
      <w:tr w:rsidR="00EF42D1" w:rsidRPr="00F91879" w14:paraId="39676B82" w14:textId="77777777" w:rsidTr="00733140">
        <w:tc>
          <w:tcPr>
            <w:tcW w:w="2329" w:type="dxa"/>
            <w:tcBorders>
              <w:top w:val="nil"/>
              <w:bottom w:val="single" w:sz="4" w:space="0" w:color="auto"/>
              <w:right w:val="nil"/>
            </w:tcBorders>
            <w:vAlign w:val="center"/>
          </w:tcPr>
          <w:p w14:paraId="104FC2ED" w14:textId="77777777" w:rsidR="00EF42D1" w:rsidRDefault="00EF42D1" w:rsidP="00EF42D1">
            <w:pPr>
              <w:snapToGrid w:val="0"/>
              <w:spacing w:after="540"/>
              <w:contextualSpacing/>
              <w:jc w:val="center"/>
            </w:pPr>
            <w:r w:rsidRPr="00F91879">
              <w:t>Injuries</w:t>
            </w:r>
          </w:p>
          <w:p w14:paraId="5EF5A86E" w14:textId="77777777" w:rsidR="00EF42D1" w:rsidRPr="00F91879" w:rsidRDefault="00EF42D1" w:rsidP="00EF42D1">
            <w:pPr>
              <w:snapToGrid w:val="0"/>
              <w:spacing w:after="540"/>
              <w:contextualSpacing/>
              <w:jc w:val="center"/>
            </w:pPr>
          </w:p>
        </w:tc>
        <w:tc>
          <w:tcPr>
            <w:tcW w:w="1756" w:type="dxa"/>
            <w:tcBorders>
              <w:top w:val="nil"/>
              <w:left w:val="nil"/>
              <w:bottom w:val="single" w:sz="4" w:space="0" w:color="auto"/>
              <w:right w:val="nil"/>
            </w:tcBorders>
          </w:tcPr>
          <w:p w14:paraId="114B75DB" w14:textId="44C81AC7" w:rsidR="00EF42D1" w:rsidRPr="00F91879" w:rsidRDefault="00EF42D1" w:rsidP="00EF42D1">
            <w:pPr>
              <w:snapToGrid w:val="0"/>
              <w:spacing w:after="540"/>
              <w:contextualSpacing/>
              <w:jc w:val="center"/>
            </w:pPr>
            <w:r w:rsidRPr="00F91879">
              <w:rPr>
                <w:color w:val="000000"/>
              </w:rPr>
              <w:t>4.60 (0.68)</w:t>
            </w:r>
          </w:p>
        </w:tc>
        <w:tc>
          <w:tcPr>
            <w:tcW w:w="1616" w:type="dxa"/>
            <w:tcBorders>
              <w:top w:val="nil"/>
              <w:left w:val="nil"/>
              <w:bottom w:val="single" w:sz="4" w:space="0" w:color="auto"/>
              <w:right w:val="nil"/>
            </w:tcBorders>
          </w:tcPr>
          <w:p w14:paraId="16F509A2" w14:textId="77777777" w:rsidR="00EF42D1" w:rsidRPr="00F91879" w:rsidRDefault="00EF42D1" w:rsidP="00EF42D1">
            <w:pPr>
              <w:snapToGrid w:val="0"/>
              <w:spacing w:after="540"/>
              <w:contextualSpacing/>
              <w:jc w:val="center"/>
            </w:pPr>
            <w:r w:rsidRPr="00F91879">
              <w:t>2-5</w:t>
            </w:r>
          </w:p>
        </w:tc>
        <w:tc>
          <w:tcPr>
            <w:tcW w:w="1756" w:type="dxa"/>
            <w:tcBorders>
              <w:top w:val="nil"/>
              <w:left w:val="nil"/>
              <w:bottom w:val="single" w:sz="4" w:space="0" w:color="auto"/>
              <w:right w:val="nil"/>
            </w:tcBorders>
          </w:tcPr>
          <w:p w14:paraId="517F52BC" w14:textId="77777777" w:rsidR="00EF42D1" w:rsidRPr="00F91879" w:rsidRDefault="00EF42D1" w:rsidP="00EF42D1">
            <w:pPr>
              <w:snapToGrid w:val="0"/>
              <w:spacing w:after="540"/>
              <w:contextualSpacing/>
              <w:jc w:val="center"/>
            </w:pPr>
            <w:r w:rsidRPr="00F91879">
              <w:t>4.43 (0.88)</w:t>
            </w:r>
          </w:p>
        </w:tc>
        <w:tc>
          <w:tcPr>
            <w:tcW w:w="1496" w:type="dxa"/>
            <w:tcBorders>
              <w:top w:val="nil"/>
              <w:left w:val="nil"/>
              <w:bottom w:val="single" w:sz="4" w:space="0" w:color="auto"/>
            </w:tcBorders>
          </w:tcPr>
          <w:p w14:paraId="1C95C9B2" w14:textId="77777777" w:rsidR="00EF42D1" w:rsidRPr="00F91879" w:rsidRDefault="00EF42D1" w:rsidP="00EF42D1">
            <w:pPr>
              <w:snapToGrid w:val="0"/>
              <w:spacing w:after="540"/>
              <w:contextualSpacing/>
              <w:jc w:val="center"/>
            </w:pPr>
            <w:r w:rsidRPr="00F91879">
              <w:t>2-5</w:t>
            </w:r>
          </w:p>
        </w:tc>
      </w:tr>
    </w:tbl>
    <w:p w14:paraId="3C834D25" w14:textId="5EFFEF3F" w:rsidR="000948E8" w:rsidRDefault="000948E8" w:rsidP="00733140">
      <w:pPr>
        <w:snapToGrid w:val="0"/>
        <w:spacing w:after="540" w:line="480" w:lineRule="auto"/>
        <w:contextualSpacing/>
      </w:pPr>
      <w:r w:rsidRPr="007C0953">
        <w:rPr>
          <w:i/>
          <w:iCs/>
          <w:lang w:val="fr-FR"/>
        </w:rPr>
        <w:t xml:space="preserve">Note. </w:t>
      </w:r>
      <w:r w:rsidR="007C0953" w:rsidRPr="007C0953">
        <w:t xml:space="preserve">SD: Standard deviation; Combat Effectiveness refers to a </w:t>
      </w:r>
      <w:r w:rsidR="007C0953" w:rsidRPr="00C07064">
        <w:t xml:space="preserve">sum of </w:t>
      </w:r>
      <w:r w:rsidR="007C0953" w:rsidRPr="00C07064">
        <w:rPr>
          <w:color w:val="000000"/>
          <w:shd w:val="clear" w:color="auto" w:fill="FFFFFF"/>
        </w:rPr>
        <w:t>scores for agility, speed, strength, and willpower</w:t>
      </w:r>
      <w:r w:rsidR="007C0953">
        <w:rPr>
          <w:color w:val="000000"/>
          <w:shd w:val="clear" w:color="auto" w:fill="FFFFFF"/>
        </w:rPr>
        <w:t xml:space="preserve">; Kills refers to </w:t>
      </w:r>
      <w:r w:rsidR="007C0953">
        <w:t>how many bad guys the avenger killed</w:t>
      </w:r>
      <w:r w:rsidR="007C0953">
        <w:t xml:space="preserve">; and Injuries refers to </w:t>
      </w:r>
      <w:r w:rsidR="007C0953">
        <w:t>how many injuries the avenger sustained</w:t>
      </w:r>
      <w:r w:rsidR="007C0953">
        <w:t>.</w:t>
      </w:r>
    </w:p>
    <w:sectPr w:rsidR="000948E8" w:rsidSect="00F30990">
      <w:headerReference w:type="even" r:id="rId12"/>
      <w:head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a Ethier-Gagnon" w:date="2024-03-07T15:43:00Z" w:initials="ME">
    <w:p w14:paraId="1E105617" w14:textId="77777777" w:rsidR="00733140" w:rsidRDefault="00733140" w:rsidP="00733140">
      <w:r>
        <w:rPr>
          <w:rStyle w:val="CommentReference"/>
        </w:rPr>
        <w:annotationRef/>
      </w:r>
      <w:r>
        <w:rPr>
          <w:rFonts w:asciiTheme="minorHAnsi" w:eastAsiaTheme="minorHAnsi" w:hAnsiTheme="minorHAnsi" w:cstheme="minorBidi"/>
          <w:color w:val="000000"/>
          <w:sz w:val="20"/>
          <w:szCs w:val="20"/>
          <w:lang w:val="en-US"/>
        </w:rPr>
        <w:t xml:space="preserve">Was confused on the wording of the question and uncertain as to whether I should be using the sample size calculated from the previous power analysis or the clean sample size collected (N=812). </w:t>
      </w:r>
    </w:p>
  </w:comment>
  <w:comment w:id="1" w:author="Mikaela Ethier-Gagnon" w:date="2024-03-07T15:44:00Z" w:initials="ME">
    <w:p w14:paraId="5D329BB8" w14:textId="77777777" w:rsidR="00733140" w:rsidRDefault="00733140" w:rsidP="00733140">
      <w:r>
        <w:rPr>
          <w:rStyle w:val="CommentReference"/>
        </w:rPr>
        <w:annotationRef/>
      </w:r>
      <w:r>
        <w:rPr>
          <w:rFonts w:asciiTheme="minorHAnsi" w:eastAsiaTheme="minorHAnsi" w:hAnsiTheme="minorHAnsi" w:cstheme="minorBidi"/>
          <w:color w:val="000000"/>
          <w:sz w:val="20"/>
          <w:szCs w:val="20"/>
          <w:lang w:val="en-US"/>
        </w:rPr>
        <w:t>Was confused as to whether I should be using the sample size calculated in question 8 or the sample size collected in the provided dataset. Used the clean sample that was collected originally for this question (N=812)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05617" w15:done="0"/>
  <w15:commentEx w15:paraId="5D329B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E5FB09F" w16cex:dateUtc="2024-03-07T19:43:00Z"/>
  <w16cex:commentExtensible w16cex:durableId="1FA3EECC" w16cex:dateUtc="2024-03-07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05617" w16cid:durableId="0E5FB09F"/>
  <w16cid:commentId w16cid:paraId="5D329BB8" w16cid:durableId="1FA3E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D36E6" w14:textId="77777777" w:rsidR="00F30990" w:rsidRDefault="00F30990" w:rsidP="00D17A00">
      <w:r>
        <w:separator/>
      </w:r>
    </w:p>
  </w:endnote>
  <w:endnote w:type="continuationSeparator" w:id="0">
    <w:p w14:paraId="6BDBB8D2" w14:textId="77777777" w:rsidR="00F30990" w:rsidRDefault="00F30990" w:rsidP="00D1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EE7B1" w14:textId="77777777" w:rsidR="00F30990" w:rsidRDefault="00F30990" w:rsidP="00D17A00">
      <w:r>
        <w:separator/>
      </w:r>
    </w:p>
  </w:footnote>
  <w:footnote w:type="continuationSeparator" w:id="0">
    <w:p w14:paraId="75B8F212" w14:textId="77777777" w:rsidR="00F30990" w:rsidRDefault="00F30990" w:rsidP="00D17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247767"/>
      <w:docPartObj>
        <w:docPartGallery w:val="Page Numbers (Top of Page)"/>
        <w:docPartUnique/>
      </w:docPartObj>
    </w:sdtPr>
    <w:sdtContent>
      <w:p w14:paraId="41AE8503" w14:textId="0BF2173E" w:rsidR="00D17A00" w:rsidRDefault="00D17A00" w:rsidP="00E212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15A02B" w14:textId="77777777" w:rsidR="00D17A00" w:rsidRDefault="00D17A00" w:rsidP="00D17A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7808882"/>
      <w:docPartObj>
        <w:docPartGallery w:val="Page Numbers (Top of Page)"/>
        <w:docPartUnique/>
      </w:docPartObj>
    </w:sdtPr>
    <w:sdtContent>
      <w:p w14:paraId="2D4C9EBC" w14:textId="26E356D9" w:rsidR="00D17A00" w:rsidRDefault="00D17A00" w:rsidP="00E212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1D5B84" w14:textId="78AF9798" w:rsidR="00D17A00" w:rsidRPr="00E60C22" w:rsidRDefault="00E60C22" w:rsidP="00D17A00">
    <w:pPr>
      <w:pStyle w:val="Header"/>
      <w:ind w:right="360"/>
    </w:pPr>
    <w:r w:rsidRPr="00E60C22">
      <w:t>DATABASE MANAGEMENT AND SAMPLE SIZE ESTIMATION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7B0"/>
    <w:multiLevelType w:val="hybridMultilevel"/>
    <w:tmpl w:val="5DF0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668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a Ethier-Gagnon">
    <w15:presenceInfo w15:providerId="AD" w15:userId="S::MikaelaEthierGagnon@cmail.carleton.ca::94d0a784-5247-4050-a1a1-eaab4bde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C3"/>
    <w:rsid w:val="000077FF"/>
    <w:rsid w:val="0009227C"/>
    <w:rsid w:val="000948E8"/>
    <w:rsid w:val="000B3AC7"/>
    <w:rsid w:val="00102DBD"/>
    <w:rsid w:val="00116261"/>
    <w:rsid w:val="001330FD"/>
    <w:rsid w:val="00166673"/>
    <w:rsid w:val="0018733A"/>
    <w:rsid w:val="001928CF"/>
    <w:rsid w:val="00193CC1"/>
    <w:rsid w:val="001A6B4A"/>
    <w:rsid w:val="002342F4"/>
    <w:rsid w:val="00267B52"/>
    <w:rsid w:val="002A6A58"/>
    <w:rsid w:val="002B6559"/>
    <w:rsid w:val="002B6AAA"/>
    <w:rsid w:val="002F535B"/>
    <w:rsid w:val="00300D94"/>
    <w:rsid w:val="003715B4"/>
    <w:rsid w:val="003A11F8"/>
    <w:rsid w:val="003B30A1"/>
    <w:rsid w:val="004063EA"/>
    <w:rsid w:val="00407B61"/>
    <w:rsid w:val="00415625"/>
    <w:rsid w:val="0049021F"/>
    <w:rsid w:val="004B4D56"/>
    <w:rsid w:val="00511068"/>
    <w:rsid w:val="00514679"/>
    <w:rsid w:val="005173A4"/>
    <w:rsid w:val="00552402"/>
    <w:rsid w:val="005A0294"/>
    <w:rsid w:val="005A4AE0"/>
    <w:rsid w:val="005E4689"/>
    <w:rsid w:val="006217E8"/>
    <w:rsid w:val="00706859"/>
    <w:rsid w:val="007201ED"/>
    <w:rsid w:val="00733140"/>
    <w:rsid w:val="00745290"/>
    <w:rsid w:val="007B79DF"/>
    <w:rsid w:val="007C0953"/>
    <w:rsid w:val="00852802"/>
    <w:rsid w:val="00872BBF"/>
    <w:rsid w:val="008B75E1"/>
    <w:rsid w:val="008C446A"/>
    <w:rsid w:val="008D5F95"/>
    <w:rsid w:val="00920946"/>
    <w:rsid w:val="00A60A5C"/>
    <w:rsid w:val="00A7336A"/>
    <w:rsid w:val="00B21942"/>
    <w:rsid w:val="00B220BC"/>
    <w:rsid w:val="00B40232"/>
    <w:rsid w:val="00B91B43"/>
    <w:rsid w:val="00BA4A5B"/>
    <w:rsid w:val="00BD101A"/>
    <w:rsid w:val="00BD449C"/>
    <w:rsid w:val="00BF2D8F"/>
    <w:rsid w:val="00BF591E"/>
    <w:rsid w:val="00BF5A77"/>
    <w:rsid w:val="00C01B74"/>
    <w:rsid w:val="00C02D81"/>
    <w:rsid w:val="00C07064"/>
    <w:rsid w:val="00C35607"/>
    <w:rsid w:val="00C57DB4"/>
    <w:rsid w:val="00C9084A"/>
    <w:rsid w:val="00CA1989"/>
    <w:rsid w:val="00CB74A1"/>
    <w:rsid w:val="00CC044B"/>
    <w:rsid w:val="00CE09B6"/>
    <w:rsid w:val="00CE0F63"/>
    <w:rsid w:val="00CF3398"/>
    <w:rsid w:val="00D17A00"/>
    <w:rsid w:val="00D26E06"/>
    <w:rsid w:val="00D71121"/>
    <w:rsid w:val="00D7748D"/>
    <w:rsid w:val="00DC1697"/>
    <w:rsid w:val="00DD392B"/>
    <w:rsid w:val="00DD7AFE"/>
    <w:rsid w:val="00E23029"/>
    <w:rsid w:val="00E36976"/>
    <w:rsid w:val="00E60C22"/>
    <w:rsid w:val="00EF42D1"/>
    <w:rsid w:val="00F004C3"/>
    <w:rsid w:val="00F30990"/>
    <w:rsid w:val="00F555C1"/>
    <w:rsid w:val="00F83A96"/>
    <w:rsid w:val="00F91879"/>
    <w:rsid w:val="00FC0730"/>
    <w:rsid w:val="00FD00E4"/>
    <w:rsid w:val="00FF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8CD77"/>
  <w14:defaultImageDpi w14:val="32767"/>
  <w15:chartTrackingRefBased/>
  <w15:docId w15:val="{1F8E5D92-E1B5-E441-B0F7-BD9C1DF3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6A58"/>
    <w:rPr>
      <w:rFonts w:ascii="Times New Roman" w:eastAsia="Times New Roman" w:hAnsi="Times New Roman" w:cs="Times New Roman"/>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04C3"/>
    <w:pPr>
      <w:autoSpaceDE w:val="0"/>
      <w:autoSpaceDN w:val="0"/>
      <w:adjustRightInd w:val="0"/>
    </w:pPr>
    <w:rPr>
      <w:rFonts w:ascii="Times New Roman" w:hAnsi="Times New Roman" w:cs="Times New Roman"/>
      <w:color w:val="000000"/>
    </w:rPr>
  </w:style>
  <w:style w:type="character" w:styleId="CommentReference">
    <w:name w:val="annotation reference"/>
    <w:basedOn w:val="DefaultParagraphFont"/>
    <w:uiPriority w:val="99"/>
    <w:semiHidden/>
    <w:unhideWhenUsed/>
    <w:rsid w:val="00F004C3"/>
    <w:rPr>
      <w:sz w:val="16"/>
      <w:szCs w:val="16"/>
    </w:rPr>
  </w:style>
  <w:style w:type="paragraph" w:styleId="CommentText">
    <w:name w:val="annotation text"/>
    <w:basedOn w:val="Normal"/>
    <w:link w:val="CommentTextChar"/>
    <w:uiPriority w:val="99"/>
    <w:semiHidden/>
    <w:unhideWhenUsed/>
    <w:rsid w:val="00F004C3"/>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F004C3"/>
    <w:rPr>
      <w:sz w:val="20"/>
      <w:szCs w:val="20"/>
    </w:rPr>
  </w:style>
  <w:style w:type="paragraph" w:styleId="CommentSubject">
    <w:name w:val="annotation subject"/>
    <w:basedOn w:val="CommentText"/>
    <w:next w:val="CommentText"/>
    <w:link w:val="CommentSubjectChar"/>
    <w:uiPriority w:val="99"/>
    <w:semiHidden/>
    <w:unhideWhenUsed/>
    <w:rsid w:val="00F004C3"/>
    <w:rPr>
      <w:b/>
      <w:bCs/>
    </w:rPr>
  </w:style>
  <w:style w:type="character" w:customStyle="1" w:styleId="CommentSubjectChar">
    <w:name w:val="Comment Subject Char"/>
    <w:basedOn w:val="CommentTextChar"/>
    <w:link w:val="CommentSubject"/>
    <w:uiPriority w:val="99"/>
    <w:semiHidden/>
    <w:rsid w:val="00F004C3"/>
    <w:rPr>
      <w:b/>
      <w:bCs/>
      <w:sz w:val="20"/>
      <w:szCs w:val="20"/>
    </w:rPr>
  </w:style>
  <w:style w:type="paragraph" w:styleId="ListParagraph">
    <w:name w:val="List Paragraph"/>
    <w:basedOn w:val="Normal"/>
    <w:uiPriority w:val="34"/>
    <w:qFormat/>
    <w:rsid w:val="00116261"/>
    <w:pPr>
      <w:ind w:left="720"/>
      <w:contextualSpacing/>
    </w:pPr>
    <w:rPr>
      <w:rFonts w:asciiTheme="minorHAnsi" w:eastAsiaTheme="minorHAnsi" w:hAnsiTheme="minorHAnsi" w:cstheme="minorBidi"/>
      <w:lang w:val="en-US"/>
    </w:rPr>
  </w:style>
  <w:style w:type="character" w:styleId="Emphasis">
    <w:name w:val="Emphasis"/>
    <w:basedOn w:val="DefaultParagraphFont"/>
    <w:uiPriority w:val="20"/>
    <w:qFormat/>
    <w:rsid w:val="00116261"/>
    <w:rPr>
      <w:i/>
      <w:iCs/>
    </w:rPr>
  </w:style>
  <w:style w:type="character" w:customStyle="1" w:styleId="normaltextrun">
    <w:name w:val="normaltextrun"/>
    <w:basedOn w:val="DefaultParagraphFont"/>
    <w:rsid w:val="00BF5A77"/>
  </w:style>
  <w:style w:type="character" w:styleId="Hyperlink">
    <w:name w:val="Hyperlink"/>
    <w:basedOn w:val="DefaultParagraphFont"/>
    <w:uiPriority w:val="99"/>
    <w:unhideWhenUsed/>
    <w:rsid w:val="002342F4"/>
    <w:rPr>
      <w:color w:val="0563C1" w:themeColor="hyperlink"/>
      <w:u w:val="single"/>
    </w:rPr>
  </w:style>
  <w:style w:type="character" w:styleId="UnresolvedMention">
    <w:name w:val="Unresolved Mention"/>
    <w:basedOn w:val="DefaultParagraphFont"/>
    <w:uiPriority w:val="99"/>
    <w:rsid w:val="002342F4"/>
    <w:rPr>
      <w:color w:val="605E5C"/>
      <w:shd w:val="clear" w:color="auto" w:fill="E1DFDD"/>
    </w:rPr>
  </w:style>
  <w:style w:type="table" w:styleId="TableGrid">
    <w:name w:val="Table Grid"/>
    <w:basedOn w:val="TableNormal"/>
    <w:uiPriority w:val="39"/>
    <w:rsid w:val="00092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7A00"/>
    <w:pPr>
      <w:tabs>
        <w:tab w:val="center" w:pos="4680"/>
        <w:tab w:val="right" w:pos="9360"/>
      </w:tabs>
    </w:pPr>
  </w:style>
  <w:style w:type="character" w:customStyle="1" w:styleId="HeaderChar">
    <w:name w:val="Header Char"/>
    <w:basedOn w:val="DefaultParagraphFont"/>
    <w:link w:val="Header"/>
    <w:uiPriority w:val="99"/>
    <w:rsid w:val="00D17A00"/>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D17A00"/>
  </w:style>
  <w:style w:type="paragraph" w:styleId="Footer">
    <w:name w:val="footer"/>
    <w:basedOn w:val="Normal"/>
    <w:link w:val="FooterChar"/>
    <w:uiPriority w:val="99"/>
    <w:unhideWhenUsed/>
    <w:rsid w:val="00E60C22"/>
    <w:pPr>
      <w:tabs>
        <w:tab w:val="center" w:pos="4680"/>
        <w:tab w:val="right" w:pos="9360"/>
      </w:tabs>
    </w:pPr>
  </w:style>
  <w:style w:type="character" w:customStyle="1" w:styleId="FooterChar">
    <w:name w:val="Footer Char"/>
    <w:basedOn w:val="DefaultParagraphFont"/>
    <w:link w:val="Footer"/>
    <w:uiPriority w:val="99"/>
    <w:rsid w:val="00E60C22"/>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149">
      <w:bodyDiv w:val="1"/>
      <w:marLeft w:val="0"/>
      <w:marRight w:val="0"/>
      <w:marTop w:val="0"/>
      <w:marBottom w:val="0"/>
      <w:divBdr>
        <w:top w:val="none" w:sz="0" w:space="0" w:color="auto"/>
        <w:left w:val="none" w:sz="0" w:space="0" w:color="auto"/>
        <w:bottom w:val="none" w:sz="0" w:space="0" w:color="auto"/>
        <w:right w:val="none" w:sz="0" w:space="0" w:color="auto"/>
      </w:divBdr>
      <w:divsChild>
        <w:div w:id="809177352">
          <w:marLeft w:val="0"/>
          <w:marRight w:val="0"/>
          <w:marTop w:val="0"/>
          <w:marBottom w:val="0"/>
          <w:divBdr>
            <w:top w:val="none" w:sz="0" w:space="0" w:color="auto"/>
            <w:left w:val="none" w:sz="0" w:space="0" w:color="auto"/>
            <w:bottom w:val="none" w:sz="0" w:space="0" w:color="auto"/>
            <w:right w:val="none" w:sz="0" w:space="0" w:color="auto"/>
          </w:divBdr>
        </w:div>
      </w:divsChild>
    </w:div>
    <w:div w:id="217858367">
      <w:bodyDiv w:val="1"/>
      <w:marLeft w:val="0"/>
      <w:marRight w:val="0"/>
      <w:marTop w:val="0"/>
      <w:marBottom w:val="0"/>
      <w:divBdr>
        <w:top w:val="none" w:sz="0" w:space="0" w:color="auto"/>
        <w:left w:val="none" w:sz="0" w:space="0" w:color="auto"/>
        <w:bottom w:val="none" w:sz="0" w:space="0" w:color="auto"/>
        <w:right w:val="none" w:sz="0" w:space="0" w:color="auto"/>
      </w:divBdr>
      <w:divsChild>
        <w:div w:id="1851947245">
          <w:marLeft w:val="0"/>
          <w:marRight w:val="0"/>
          <w:marTop w:val="0"/>
          <w:marBottom w:val="0"/>
          <w:divBdr>
            <w:top w:val="none" w:sz="0" w:space="0" w:color="auto"/>
            <w:left w:val="none" w:sz="0" w:space="0" w:color="auto"/>
            <w:bottom w:val="none" w:sz="0" w:space="0" w:color="auto"/>
            <w:right w:val="none" w:sz="0" w:space="0" w:color="auto"/>
          </w:divBdr>
        </w:div>
      </w:divsChild>
    </w:div>
    <w:div w:id="606011616">
      <w:bodyDiv w:val="1"/>
      <w:marLeft w:val="0"/>
      <w:marRight w:val="0"/>
      <w:marTop w:val="0"/>
      <w:marBottom w:val="0"/>
      <w:divBdr>
        <w:top w:val="none" w:sz="0" w:space="0" w:color="auto"/>
        <w:left w:val="none" w:sz="0" w:space="0" w:color="auto"/>
        <w:bottom w:val="none" w:sz="0" w:space="0" w:color="auto"/>
        <w:right w:val="none" w:sz="0" w:space="0" w:color="auto"/>
      </w:divBdr>
      <w:divsChild>
        <w:div w:id="386608509">
          <w:marLeft w:val="0"/>
          <w:marRight w:val="0"/>
          <w:marTop w:val="0"/>
          <w:marBottom w:val="0"/>
          <w:divBdr>
            <w:top w:val="none" w:sz="0" w:space="0" w:color="auto"/>
            <w:left w:val="none" w:sz="0" w:space="0" w:color="auto"/>
            <w:bottom w:val="none" w:sz="0" w:space="0" w:color="auto"/>
            <w:right w:val="none" w:sz="0" w:space="0" w:color="auto"/>
          </w:divBdr>
        </w:div>
      </w:divsChild>
    </w:div>
    <w:div w:id="864901203">
      <w:bodyDiv w:val="1"/>
      <w:marLeft w:val="0"/>
      <w:marRight w:val="0"/>
      <w:marTop w:val="0"/>
      <w:marBottom w:val="0"/>
      <w:divBdr>
        <w:top w:val="none" w:sz="0" w:space="0" w:color="auto"/>
        <w:left w:val="none" w:sz="0" w:space="0" w:color="auto"/>
        <w:bottom w:val="none" w:sz="0" w:space="0" w:color="auto"/>
        <w:right w:val="none" w:sz="0" w:space="0" w:color="auto"/>
      </w:divBdr>
      <w:divsChild>
        <w:div w:id="204804343">
          <w:marLeft w:val="0"/>
          <w:marRight w:val="0"/>
          <w:marTop w:val="0"/>
          <w:marBottom w:val="0"/>
          <w:divBdr>
            <w:top w:val="none" w:sz="0" w:space="0" w:color="auto"/>
            <w:left w:val="none" w:sz="0" w:space="0" w:color="auto"/>
            <w:bottom w:val="none" w:sz="0" w:space="0" w:color="auto"/>
            <w:right w:val="none" w:sz="0" w:space="0" w:color="auto"/>
          </w:divBdr>
        </w:div>
      </w:divsChild>
    </w:div>
    <w:div w:id="981616128">
      <w:bodyDiv w:val="1"/>
      <w:marLeft w:val="0"/>
      <w:marRight w:val="0"/>
      <w:marTop w:val="0"/>
      <w:marBottom w:val="0"/>
      <w:divBdr>
        <w:top w:val="none" w:sz="0" w:space="0" w:color="auto"/>
        <w:left w:val="none" w:sz="0" w:space="0" w:color="auto"/>
        <w:bottom w:val="none" w:sz="0" w:space="0" w:color="auto"/>
        <w:right w:val="none" w:sz="0" w:space="0" w:color="auto"/>
      </w:divBdr>
      <w:divsChild>
        <w:div w:id="1299066473">
          <w:marLeft w:val="0"/>
          <w:marRight w:val="0"/>
          <w:marTop w:val="0"/>
          <w:marBottom w:val="0"/>
          <w:divBdr>
            <w:top w:val="none" w:sz="0" w:space="0" w:color="auto"/>
            <w:left w:val="none" w:sz="0" w:space="0" w:color="auto"/>
            <w:bottom w:val="none" w:sz="0" w:space="0" w:color="auto"/>
            <w:right w:val="none" w:sz="0" w:space="0" w:color="auto"/>
          </w:divBdr>
        </w:div>
      </w:divsChild>
    </w:div>
    <w:div w:id="10315660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6">
          <w:marLeft w:val="0"/>
          <w:marRight w:val="0"/>
          <w:marTop w:val="0"/>
          <w:marBottom w:val="0"/>
          <w:divBdr>
            <w:top w:val="none" w:sz="0" w:space="0" w:color="auto"/>
            <w:left w:val="none" w:sz="0" w:space="0" w:color="auto"/>
            <w:bottom w:val="none" w:sz="0" w:space="0" w:color="auto"/>
            <w:right w:val="none" w:sz="0" w:space="0" w:color="auto"/>
          </w:divBdr>
        </w:div>
      </w:divsChild>
    </w:div>
    <w:div w:id="1348630991">
      <w:bodyDiv w:val="1"/>
      <w:marLeft w:val="0"/>
      <w:marRight w:val="0"/>
      <w:marTop w:val="0"/>
      <w:marBottom w:val="0"/>
      <w:divBdr>
        <w:top w:val="none" w:sz="0" w:space="0" w:color="auto"/>
        <w:left w:val="none" w:sz="0" w:space="0" w:color="auto"/>
        <w:bottom w:val="none" w:sz="0" w:space="0" w:color="auto"/>
        <w:right w:val="none" w:sz="0" w:space="0" w:color="auto"/>
      </w:divBdr>
      <w:divsChild>
        <w:div w:id="1813673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iyakoven/PSYR6003-Assignment-1"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7</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Ethier-Gagnon</dc:creator>
  <cp:keywords/>
  <dc:description/>
  <cp:lastModifiedBy>Mikaela Ethier-Gagnon</cp:lastModifiedBy>
  <cp:revision>44</cp:revision>
  <dcterms:created xsi:type="dcterms:W3CDTF">2024-02-24T20:26:00Z</dcterms:created>
  <dcterms:modified xsi:type="dcterms:W3CDTF">2024-03-07T20:30:00Z</dcterms:modified>
</cp:coreProperties>
</file>