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E4B2" w14:textId="35D33972" w:rsidR="00BC609B" w:rsidRPr="00BC609B" w:rsidRDefault="00B8777D" w:rsidP="00BC609B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2EBF848" wp14:editId="2C7F5D0A">
            <wp:simplePos x="0" y="0"/>
            <wp:positionH relativeFrom="column">
              <wp:posOffset>5061873</wp:posOffset>
            </wp:positionH>
            <wp:positionV relativeFrom="paragraph">
              <wp:posOffset>-873916</wp:posOffset>
            </wp:positionV>
            <wp:extent cx="1620172" cy="1250315"/>
            <wp:effectExtent l="0" t="0" r="0" b="6985"/>
            <wp:wrapNone/>
            <wp:docPr id="19147584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8437" name="Imagem 1914758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767" cy="1259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0BA" w:rsidRPr="00BC609B">
        <w:rPr>
          <w:rFonts w:ascii="Arial" w:hAnsi="Arial" w:cs="Arial"/>
          <w:b/>
          <w:bCs/>
          <w:sz w:val="24"/>
          <w:szCs w:val="24"/>
        </w:rPr>
        <w:t>RELATÓRIO ACADÊMICO: CREATIVEFLOW PLATAFORMA DE ANTECIPAÇÃO DE RECEBÍVEIS</w:t>
      </w:r>
    </w:p>
    <w:p w14:paraId="58C89C78" w14:textId="709240F7" w:rsidR="003C30BA" w:rsidRPr="00BC609B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 xml:space="preserve">Curso: </w:t>
      </w:r>
      <w:r w:rsidR="001E78B3" w:rsidRPr="00BC609B">
        <w:rPr>
          <w:rFonts w:ascii="Arial" w:hAnsi="Arial" w:cs="Arial"/>
          <w:b/>
          <w:bCs/>
          <w:sz w:val="24"/>
          <w:szCs w:val="24"/>
        </w:rPr>
        <w:t>inovação e negócios criativos</w:t>
      </w:r>
    </w:p>
    <w:p w14:paraId="0DF81B31" w14:textId="4803903E" w:rsidR="003C30BA" w:rsidRPr="00BC609B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Disciplina</w:t>
      </w:r>
      <w:r w:rsidRPr="00BC609B">
        <w:rPr>
          <w:rFonts w:ascii="Arial" w:hAnsi="Arial" w:cs="Arial"/>
          <w:b/>
          <w:bCs/>
          <w:sz w:val="24"/>
          <w:szCs w:val="24"/>
        </w:rPr>
        <w:t>: administração, economia e finanças</w:t>
      </w:r>
    </w:p>
    <w:p w14:paraId="08CB6137" w14:textId="7B9DBFFB" w:rsidR="003C30BA" w:rsidRPr="00BC609B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 xml:space="preserve">Integrantes: </w:t>
      </w:r>
      <w:r w:rsidRPr="00BC609B">
        <w:rPr>
          <w:rFonts w:ascii="Arial" w:hAnsi="Arial" w:cs="Arial"/>
          <w:b/>
          <w:bCs/>
          <w:sz w:val="24"/>
          <w:szCs w:val="24"/>
        </w:rPr>
        <w:t>josé regis pereira Alves,</w:t>
      </w:r>
      <w:r w:rsidR="00BC609B">
        <w:rPr>
          <w:rFonts w:ascii="Arial" w:hAnsi="Arial" w:cs="Arial"/>
          <w:b/>
          <w:bCs/>
          <w:sz w:val="24"/>
          <w:szCs w:val="24"/>
        </w:rPr>
        <w:t xml:space="preserve"> </w:t>
      </w:r>
      <w:r w:rsidR="00BC609B" w:rsidRPr="00BC609B">
        <w:rPr>
          <w:rFonts w:ascii="Arial" w:hAnsi="Arial" w:cs="Arial"/>
          <w:b/>
          <w:bCs/>
          <w:sz w:val="24"/>
          <w:szCs w:val="24"/>
        </w:rPr>
        <w:t>Rafael Bastos de Andrade</w:t>
      </w:r>
    </w:p>
    <w:p w14:paraId="516A7DEE" w14:textId="682A8681" w:rsidR="00BC609B" w:rsidRPr="00BC609B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 xml:space="preserve">Professor(a): </w:t>
      </w:r>
      <w:r w:rsidR="001E78B3" w:rsidRPr="00BC609B">
        <w:rPr>
          <w:rFonts w:ascii="Arial" w:hAnsi="Arial" w:cs="Arial"/>
          <w:b/>
          <w:bCs/>
          <w:sz w:val="24"/>
          <w:szCs w:val="24"/>
        </w:rPr>
        <w:t>Arlei Catani</w:t>
      </w:r>
    </w:p>
    <w:p w14:paraId="528364BD" w14:textId="77777777" w:rsidR="00BC609B" w:rsidRPr="00BC609B" w:rsidRDefault="00BC609B" w:rsidP="00BC609B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C57011" w14:textId="77777777" w:rsidR="003C30BA" w:rsidRPr="00BC609B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1. Introdução</w:t>
      </w:r>
    </w:p>
    <w:p w14:paraId="326945D2" w14:textId="6F3913A3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 xml:space="preserve">A economia criativa é composta por profissionais e </w:t>
      </w:r>
      <w:r w:rsidR="001E78B3" w:rsidRPr="00BC609B">
        <w:rPr>
          <w:rFonts w:ascii="Arial" w:hAnsi="Arial" w:cs="Arial"/>
          <w:sz w:val="24"/>
          <w:szCs w:val="24"/>
        </w:rPr>
        <w:t xml:space="preserve">micro </w:t>
      </w:r>
      <w:r w:rsidRPr="00BC609B">
        <w:rPr>
          <w:rFonts w:ascii="Arial" w:hAnsi="Arial" w:cs="Arial"/>
          <w:sz w:val="24"/>
          <w:szCs w:val="24"/>
        </w:rPr>
        <w:t>empresas que desenvolvem atividades como produção de conteúdo, design, publicidade, marketing e audiovisual. Apesar das oportunidades de crescimento, muitos desses negócios enfrentam dificuldades financeiras devido aos longos prazos de pagamento estabelecidos por seus clientes, que podem variar de 60 a 120 dias.</w:t>
      </w:r>
    </w:p>
    <w:p w14:paraId="0BA856B2" w14:textId="77777777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Essa situação prejudica o fluxo de caixa, pois os profissionais precisam pagar colaboradores, fornecedores e outras despesas antes de receber pelos serviços realizados.</w:t>
      </w:r>
    </w:p>
    <w:p w14:paraId="54129021" w14:textId="77777777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Diante desse cenário, surgiu a proposta da CreativeFlow, uma plataforma digital de antecipação de recebíveis que busca oferecer uma solução financeira rápida e acessível para os pequenos negócios da economia criativa.</w:t>
      </w:r>
    </w:p>
    <w:p w14:paraId="1344513C" w14:textId="77777777" w:rsidR="00BC609B" w:rsidRPr="00BC609B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</w:p>
    <w:p w14:paraId="673014EF" w14:textId="77777777" w:rsidR="003C30BA" w:rsidRPr="00BC609B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2. Descrição da solução</w:t>
      </w:r>
    </w:p>
    <w:p w14:paraId="3A9FF196" w14:textId="77777777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 CreativeFlow tem como objetivo permitir que profissionais e empresas recebam antecipadamente valores de notas fiscais que ainda serão pagas por seus clientes. Em troca, a plataforma cobra uma taxa de desconto sobre o valor do recebível.</w:t>
      </w:r>
    </w:p>
    <w:p w14:paraId="2503DC63" w14:textId="77777777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O processo será realizado digitalmente, desde o cadastro do usuário até a análise dos documentos e a apresentação da proposta financeira. Após a aprovação da operação, a proposta é disponibilizar os recursos em até 24 horas, conforme as condições estabelecidas.</w:t>
      </w:r>
    </w:p>
    <w:p w14:paraId="07F6A766" w14:textId="77777777" w:rsidR="00BC609B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O principal diferencial da plataforma é combinar a análise financeira da empresa pagadora com informações sobre o histórico profissional do prestador de serviços, como entregas realizadas e avaliações de clientes. Dessa forma, busca-se tornar a análise de risco mais adequada à realidade da economia criativa.</w:t>
      </w:r>
    </w:p>
    <w:p w14:paraId="4479C756" w14:textId="7F5200D3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3. Público-alvo e modelo de negócio</w:t>
      </w:r>
    </w:p>
    <w:p w14:paraId="0EE11905" w14:textId="24A64B97" w:rsidR="00554305" w:rsidRPr="00BC609B" w:rsidRDefault="00B8777D" w:rsidP="00BC609B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02611936" wp14:editId="456A6C80">
            <wp:simplePos x="0" y="0"/>
            <wp:positionH relativeFrom="column">
              <wp:posOffset>5072332</wp:posOffset>
            </wp:positionH>
            <wp:positionV relativeFrom="paragraph">
              <wp:posOffset>-833874</wp:posOffset>
            </wp:positionV>
            <wp:extent cx="1620172" cy="1250315"/>
            <wp:effectExtent l="0" t="0" r="0" b="6985"/>
            <wp:wrapNone/>
            <wp:docPr id="3282471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8437" name="Imagem 1914758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172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305" w:rsidRPr="00BC609B">
        <w:rPr>
          <w:rFonts w:ascii="Arial" w:hAnsi="Arial" w:cs="Arial"/>
          <w:sz w:val="24"/>
          <w:szCs w:val="24"/>
        </w:rPr>
        <w:t>A CreativeFlow é uma plataforma desenvolvida exclusivamente para atender aos Microempreendedores que atuam na economia criativa, como designers, produtores de conteúdo, fotógrafos, editores de vídeo e profissionais de marketing.</w:t>
      </w:r>
    </w:p>
    <w:p w14:paraId="6C898212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Esses empreendedores frequentemente prestam serviços para empresas de médio e grande porte, mas precisam esperar de 60 a 120 dias para receber pelos trabalhos realizados. Durante esse período, enfrentam dificuldades para pagar despesas e manter suas atividades.</w:t>
      </w:r>
    </w:p>
    <w:p w14:paraId="724FE1A6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O modelo de negócio da CreativeFlow será baseado na antecipação de recebíveis, permitindo que os MEIs recebam antecipadamente os valores de notas fiscais elegíveis, mediante uma taxa de desconto. Dessa forma, a plataforma pretende facilitar o acesso ao capital de giro e contribuir para a estabilidade financeira desses pequenos empreendedores.</w:t>
      </w:r>
    </w:p>
    <w:p w14:paraId="1181FD3C" w14:textId="77777777" w:rsidR="00BC609B" w:rsidRPr="00BC609B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</w:p>
    <w:p w14:paraId="7D9099E8" w14:textId="77777777" w:rsidR="00554305" w:rsidRPr="00BC609B" w:rsidRDefault="00554305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4. Solução e diferencial competitivo</w:t>
      </w:r>
    </w:p>
    <w:p w14:paraId="2F6D5C2F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 CreativeFlow permitirá que o MEI cadastre suas informações, envie os documentos necessários e solicite a antecipação de seus recebíveis por meio de uma plataforma digital.</w:t>
      </w:r>
    </w:p>
    <w:p w14:paraId="11763724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O diferencial será combinar a análise da capacidade de pagamento da empresa contratante com informações sobre o histórico profissional do MEI, como contratos anteriores e serviços realizados. Essa análise poderá contribuir para decisões mais adequadas ao perfil de cada operação.</w:t>
      </w:r>
    </w:p>
    <w:p w14:paraId="7F2E1F2A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Após a aprovação e a formalização da operação, a proposta é disponibilizar os recursos em até 24 horas, conforme as condições estabelecidas.</w:t>
      </w:r>
    </w:p>
    <w:p w14:paraId="226254C3" w14:textId="77777777" w:rsidR="00BC609B" w:rsidRPr="00BC609B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</w:p>
    <w:p w14:paraId="276E8C37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5.</w:t>
      </w:r>
      <w:r w:rsidRPr="00BC609B">
        <w:rPr>
          <w:rFonts w:ascii="Arial" w:hAnsi="Arial" w:cs="Arial"/>
          <w:sz w:val="24"/>
          <w:szCs w:val="24"/>
        </w:rPr>
        <w:t xml:space="preserve"> </w:t>
      </w:r>
      <w:r w:rsidRPr="00BC609B">
        <w:rPr>
          <w:rFonts w:ascii="Arial" w:hAnsi="Arial" w:cs="Arial"/>
          <w:b/>
          <w:bCs/>
          <w:sz w:val="24"/>
          <w:szCs w:val="24"/>
        </w:rPr>
        <w:t>Conclusão</w:t>
      </w:r>
    </w:p>
    <w:p w14:paraId="5705DA7E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 CreativeFlow busca solucionar uma das principais dificuldades financeiras enfrentadas pelos MEIs que prestam serviços para empresas de médio e grande porte: a demora no recebimento pelos trabalhos realizados.</w:t>
      </w:r>
    </w:p>
    <w:p w14:paraId="169BFCAD" w14:textId="77777777" w:rsidR="00554305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Por meio da antecipação de recebíveis, a plataforma pretende oferecer mais flexibilidade financeira, ajudando esses empreendedores a pagar suas despesas, manter suas atividades e aproveitar novas oportunidades de negócio.</w:t>
      </w:r>
    </w:p>
    <w:p w14:paraId="3073C3F1" w14:textId="51DEF3C6" w:rsidR="003C30BA" w:rsidRPr="00BC609B" w:rsidRDefault="00554305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Conclui-se que a proposta apresenta potencial de viabilidade, desde que haja controle dos custos, análise adequada dos riscos e cumprimento das exigências legais aplicáveis.</w:t>
      </w:r>
      <w:r w:rsidR="003C30BA" w:rsidRPr="00BC609B">
        <w:rPr>
          <w:rFonts w:ascii="Arial" w:hAnsi="Arial" w:cs="Arial"/>
          <w:b/>
          <w:bCs/>
          <w:sz w:val="24"/>
          <w:szCs w:val="24"/>
        </w:rPr>
        <w:t>6. Conclusão</w:t>
      </w:r>
    </w:p>
    <w:p w14:paraId="22F4C78B" w14:textId="77777777" w:rsidR="00B8777D" w:rsidRDefault="00B8777D" w:rsidP="00BC609B">
      <w:pPr>
        <w:spacing w:line="276" w:lineRule="auto"/>
        <w:rPr>
          <w:rFonts w:ascii="Arial" w:hAnsi="Arial" w:cs="Arial"/>
          <w:sz w:val="24"/>
          <w:szCs w:val="24"/>
        </w:rPr>
      </w:pPr>
    </w:p>
    <w:p w14:paraId="147C7580" w14:textId="4D7DBE2A" w:rsidR="00B8777D" w:rsidRDefault="00B8777D" w:rsidP="00BC609B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8A71AE9" wp14:editId="113B63CC">
            <wp:simplePos x="0" y="0"/>
            <wp:positionH relativeFrom="column">
              <wp:posOffset>5158105</wp:posOffset>
            </wp:positionH>
            <wp:positionV relativeFrom="paragraph">
              <wp:posOffset>-884327</wp:posOffset>
            </wp:positionV>
            <wp:extent cx="1620172" cy="1250315"/>
            <wp:effectExtent l="0" t="0" r="0" b="6985"/>
            <wp:wrapNone/>
            <wp:docPr id="19210702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8437" name="Imagem 1914758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172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0C9F8" w14:textId="608E486F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 CreativeFlow apresenta uma proposta de negócio voltada a um problema real enfrentado por pequenos negócios da economia criativa: a falta de recursos financeiros durante o período de espera pelo pagamento dos serviços prestados.</w:t>
      </w:r>
    </w:p>
    <w:p w14:paraId="3EC10BA1" w14:textId="77777777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Por meio da antecipação digital de recebíveis, a plataforma pretende facilitar o acesso ao capital de giro, ajudar no pagamento das despesas operacionais e permitir que os profissionais mantenham suas atividades sem depender exclusivamente dos prazos de seus clientes.</w:t>
      </w:r>
    </w:p>
    <w:p w14:paraId="0EE805D8" w14:textId="77777777" w:rsidR="003C30BA" w:rsidRP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 análise financeira preliminar demonstra que o negócio pode apresentar resultados positivos caso consiga atingir o volume de operações projetado e manter os custos sob controle. Entretanto, sua viabilidade dependerá de uma boa gestão financeira, de uma análise de risco eficiente e do cumprimento das exigências legais.</w:t>
      </w:r>
    </w:p>
    <w:p w14:paraId="7710A7F6" w14:textId="3C64EA45" w:rsidR="00BC609B" w:rsidRDefault="003C30BA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Conclui-se que a CreativeFlow possui potencial para se tornar uma alternativa financeira relevante para a economia criativa, unindo tecnologia, inovação e planejamento financeiro para atender às necessidades desse mercado.</w:t>
      </w:r>
    </w:p>
    <w:p w14:paraId="651E86EF" w14:textId="77777777" w:rsidR="00BC609B" w:rsidRPr="00BC609B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</w:p>
    <w:p w14:paraId="66A56791" w14:textId="1827729F" w:rsidR="003C30BA" w:rsidRDefault="003C30BA" w:rsidP="00BC60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BC609B">
        <w:rPr>
          <w:rFonts w:ascii="Arial" w:hAnsi="Arial" w:cs="Arial"/>
          <w:b/>
          <w:bCs/>
          <w:sz w:val="24"/>
          <w:szCs w:val="24"/>
        </w:rPr>
        <w:t>Referência</w:t>
      </w:r>
      <w:r w:rsidR="00BC609B">
        <w:rPr>
          <w:rFonts w:ascii="Arial" w:hAnsi="Arial" w:cs="Arial"/>
          <w:b/>
          <w:bCs/>
          <w:sz w:val="24"/>
          <w:szCs w:val="24"/>
        </w:rPr>
        <w:t>s</w:t>
      </w:r>
    </w:p>
    <w:p w14:paraId="341D160F" w14:textId="17AC9B32" w:rsidR="00BC609B" w:rsidRPr="00BC609B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HOWKINS, John. Economia Criativa: Como ganhar dinheiro com ideias criativas. São Paulo: M. Books, 2013.</w:t>
      </w:r>
    </w:p>
    <w:p w14:paraId="45203A08" w14:textId="683E0B89" w:rsidR="00CB5AC2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ASSAF NETO, Alexandre. Finanças Corporativas e Valor. 7. ed. São Paulo: Atlas, 2014.</w:t>
      </w:r>
    </w:p>
    <w:p w14:paraId="48DE970E" w14:textId="66065B1D" w:rsidR="00BC609B" w:rsidRPr="00BC609B" w:rsidRDefault="00BC609B" w:rsidP="00BC609B">
      <w:pPr>
        <w:spacing w:line="276" w:lineRule="auto"/>
        <w:rPr>
          <w:rFonts w:ascii="Arial" w:hAnsi="Arial" w:cs="Arial"/>
          <w:sz w:val="24"/>
          <w:szCs w:val="24"/>
        </w:rPr>
      </w:pPr>
      <w:r w:rsidRPr="00BC609B">
        <w:rPr>
          <w:rFonts w:ascii="Arial" w:hAnsi="Arial" w:cs="Arial"/>
          <w:sz w:val="24"/>
          <w:szCs w:val="24"/>
        </w:rPr>
        <w:t>BCB - BANCO CENTRAL DO BRASIL. Resolução CMN nº 4.656, de 26 de abril de 2018. Dispõe sobre a constituição e o funcionamento das sociedades de crédito direto (SCD) e das sociedades de empréstimo entre pessoas (SEP). Brasília: BCB, 2018</w:t>
      </w:r>
    </w:p>
    <w:sectPr w:rsidR="00BC609B" w:rsidRPr="00BC6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D694" w14:textId="77777777" w:rsidR="00D338F0" w:rsidRDefault="00D338F0" w:rsidP="00BC609B">
      <w:pPr>
        <w:spacing w:after="0" w:line="240" w:lineRule="auto"/>
      </w:pPr>
      <w:r>
        <w:separator/>
      </w:r>
    </w:p>
  </w:endnote>
  <w:endnote w:type="continuationSeparator" w:id="0">
    <w:p w14:paraId="23153D93" w14:textId="77777777" w:rsidR="00D338F0" w:rsidRDefault="00D338F0" w:rsidP="00BC6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C249" w14:textId="77777777" w:rsidR="00D338F0" w:rsidRDefault="00D338F0" w:rsidP="00BC609B">
      <w:pPr>
        <w:spacing w:after="0" w:line="240" w:lineRule="auto"/>
      </w:pPr>
      <w:r>
        <w:separator/>
      </w:r>
    </w:p>
  </w:footnote>
  <w:footnote w:type="continuationSeparator" w:id="0">
    <w:p w14:paraId="45A89ED1" w14:textId="77777777" w:rsidR="00D338F0" w:rsidRDefault="00D338F0" w:rsidP="00BC60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BA"/>
    <w:rsid w:val="001E78B3"/>
    <w:rsid w:val="0035346F"/>
    <w:rsid w:val="003C30BA"/>
    <w:rsid w:val="00486895"/>
    <w:rsid w:val="00554305"/>
    <w:rsid w:val="00B8777D"/>
    <w:rsid w:val="00BC609B"/>
    <w:rsid w:val="00CB5AC2"/>
    <w:rsid w:val="00CF6192"/>
    <w:rsid w:val="00D3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1B85E"/>
  <w15:chartTrackingRefBased/>
  <w15:docId w15:val="{5D40C687-A1BE-4CE8-8AF9-AB03F275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0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0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0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0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0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0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30B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30B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C6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609B"/>
  </w:style>
  <w:style w:type="paragraph" w:styleId="Rodap">
    <w:name w:val="footer"/>
    <w:basedOn w:val="Normal"/>
    <w:link w:val="RodapChar"/>
    <w:uiPriority w:val="99"/>
    <w:unhideWhenUsed/>
    <w:rsid w:val="00BC6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6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856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regis Pereira</dc:creator>
  <cp:keywords/>
  <dc:description/>
  <cp:lastModifiedBy>Jose regis Pereira</cp:lastModifiedBy>
  <cp:revision>1</cp:revision>
  <dcterms:created xsi:type="dcterms:W3CDTF">2026-10-23T17:44:00Z</dcterms:created>
  <dcterms:modified xsi:type="dcterms:W3CDTF">2026-10-23T18:34:00Z</dcterms:modified>
</cp:coreProperties>
</file>