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3B" w:rsidRPr="0084103B" w:rsidRDefault="0084103B" w:rsidP="0084103B">
      <w:pPr>
        <w:spacing w:line="259" w:lineRule="auto"/>
        <w:ind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4103B">
        <w:rPr>
          <w:rFonts w:ascii="Times New Roman" w:hAnsi="Times New Roman" w:cs="Times New Roman"/>
          <w:b/>
          <w:sz w:val="28"/>
          <w:szCs w:val="28"/>
          <w:highlight w:val="yellow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4103B">
        <w:rPr>
          <w:rFonts w:ascii="Times New Roman" w:hAnsi="Times New Roman" w:cs="Times New Roman"/>
          <w:b/>
          <w:sz w:val="28"/>
          <w:szCs w:val="28"/>
        </w:rPr>
        <w:t>Корректировка карт состояния сельскохозяйственной растительности</w:t>
      </w:r>
    </w:p>
    <w:p w:rsidR="0084103B" w:rsidRPr="00364ACA" w:rsidRDefault="0084103B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4103B" w:rsidRDefault="0084103B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103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корректиро</w:t>
      </w:r>
      <w:bookmarkStart w:id="0" w:name="_GoBack"/>
      <w:bookmarkEnd w:id="0"/>
      <w:r w:rsidRPr="0084103B">
        <w:rPr>
          <w:rFonts w:ascii="Times New Roman" w:eastAsia="Times New Roman" w:hAnsi="Times New Roman" w:cs="Times New Roman"/>
          <w:sz w:val="28"/>
          <w:szCs w:val="24"/>
          <w:lang w:eastAsia="ru-RU"/>
        </w:rPr>
        <w:t>вки карт состояния растительности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требуется разработка алгоритмов обработки аэрофотоснимков. Требования к разрабатываемым алгоритмам определяются ограничения, налагаемыми используемым оборудованием:</w:t>
      </w:r>
    </w:p>
    <w:p w:rsidR="0084103B" w:rsidRDefault="0084103B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1) Низкая производительность системы обработки данных – используемые в БПЛА не позволяют реализовывать вычислительно сложные алгоритмы обработки изображений.</w:t>
      </w:r>
    </w:p>
    <w:p w:rsidR="0084103B" w:rsidRDefault="0084103B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2) Отсутствие возможности хранения большой базы данных с информацией, полученной в результате предыдущих съемок.</w:t>
      </w:r>
    </w:p>
    <w:p w:rsidR="0084103B" w:rsidRDefault="0084103B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3) Отсутствие стабильной связи с базовой станцией, которая могла бы обеспечить получение ранее полученной информации.</w:t>
      </w:r>
    </w:p>
    <w:p w:rsidR="0084103B" w:rsidRDefault="0084103B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Данные ограничения позволяют сформулировать требования к алгоритмам:</w:t>
      </w:r>
    </w:p>
    <w:p w:rsidR="0084103B" w:rsidRDefault="0084103B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1) Низкая вычислительная сложность.</w:t>
      </w:r>
    </w:p>
    <w:p w:rsidR="0084103B" w:rsidRDefault="0084103B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2) Использование только информации, поступающей в настоящий момент.</w:t>
      </w:r>
    </w:p>
    <w:p w:rsidR="004C16C2" w:rsidRDefault="004C16C2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связи с этими требованиями возможна разработка только алгоритмов предварительной обработки, направленных на быструю оценку состояния растительности.</w:t>
      </w:r>
    </w:p>
    <w:p w:rsidR="00C021F5" w:rsidRPr="007A13F6" w:rsidRDefault="00B540A7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Предварительная оценка состояния растительности может быть произведена на основе обработки цветовой информации, при этом для снижения влияния условий освещения следует использовать цвето</w:t>
      </w:r>
      <w:r w:rsidR="007A13F6">
        <w:rPr>
          <w:rFonts w:ascii="Times New Roman" w:eastAsia="Times New Roman" w:hAnsi="Times New Roman" w:cs="Times New Roman"/>
          <w:sz w:val="28"/>
          <w:szCs w:val="24"/>
          <w:lang w:eastAsia="ru-RU"/>
        </w:rPr>
        <w:t>вое пространство HSV вместо RGB</w:t>
      </w:r>
      <w:r w:rsidR="007A13F6" w:rsidRPr="007A13F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4103B" w:rsidRPr="00364ACA" w:rsidRDefault="00105DB4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Значение оттенка </w:t>
      </w:r>
      <w:proofErr w:type="spellStart"/>
      <w:r w:rsidRPr="00105DB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вычисляется по формуле: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454F1F" w:rsidTr="00454F1F">
        <w:trPr>
          <w:trHeight w:val="1592"/>
        </w:trPr>
        <w:tc>
          <w:tcPr>
            <w:tcW w:w="6629" w:type="dxa"/>
            <w:vAlign w:val="center"/>
          </w:tcPr>
          <w:p w:rsidR="00454F1F" w:rsidRDefault="00454F1F" w:rsidP="00454F1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bookmarkStart w:id="1" w:name="OLE_LINK9"/>
            <w:r w:rsidRPr="00454F1F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>
                  <wp:extent cx="3415774" cy="826936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657" cy="826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:rsidR="00454F1F" w:rsidRDefault="00454F1F" w:rsidP="00454F1F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</w:t>
            </w:r>
            <w:r w:rsidRPr="00454F1F"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val="en-US" w:eastAsia="ru-RU"/>
              </w:rPr>
              <w:t>2.1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bookmarkEnd w:id="1"/>
    <w:p w:rsidR="00105DB4" w:rsidRDefault="00105DB4" w:rsidP="00454F1F">
      <w:pPr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 насыщенности </w:t>
      </w:r>
      <w:proofErr w:type="spellStart"/>
      <w:r w:rsidRPr="00105DB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по формуле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454F1F" w:rsidTr="00454F1F">
        <w:trPr>
          <w:trHeight w:val="836"/>
        </w:trPr>
        <w:tc>
          <w:tcPr>
            <w:tcW w:w="6629" w:type="dxa"/>
            <w:vAlign w:val="center"/>
          </w:tcPr>
          <w:p w:rsidR="00454F1F" w:rsidRDefault="00454F1F" w:rsidP="00454F1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454F1F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>
                  <wp:extent cx="2666690" cy="262393"/>
                  <wp:effectExtent l="19050" t="0" r="31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254" cy="262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:rsidR="00454F1F" w:rsidRDefault="00454F1F" w:rsidP="00454F1F">
            <w:pPr>
              <w:autoSpaceDE w:val="0"/>
              <w:autoSpaceDN w:val="0"/>
              <w:adjustRightInd w:val="0"/>
              <w:ind w:firstLine="0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</w:t>
            </w:r>
            <w:r w:rsidRPr="00454F1F"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val="en-US" w:eastAsia="ru-RU"/>
              </w:rPr>
              <w:t>2.2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p w:rsidR="00105DB4" w:rsidRDefault="00105DB4" w:rsidP="00105DB4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Оттенок </w:t>
      </w:r>
      <w:proofErr w:type="spellStart"/>
      <w:r w:rsidRPr="00105DB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принимать значения от −</w:t>
      </w:r>
      <w:bookmarkStart w:id="2" w:name="OLE_LINK1"/>
      <w:bookmarkStart w:id="3" w:name="OLE_LINK2"/>
      <w:bookmarkStart w:id="4" w:name="OLE_LINK3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bookmarkEnd w:id="2"/>
      <w:bookmarkEnd w:id="3"/>
      <w:bookmarkEnd w:id="4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2, а насыщенность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от 0 до 255. В таблице </w:t>
      </w:r>
      <w:r w:rsidRPr="00105DB4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2.1</w:t>
      </w: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привед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енные значения </w:t>
      </w:r>
      <w:proofErr w:type="spellStart"/>
      <w:r w:rsidRPr="00105DB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105DB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раз</w:t>
      </w: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личных типов сегментов (данные о значен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иях оттенка и насыщенности полу</w:t>
      </w: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чены экспертом на основании анализа цветовых характеристик изображений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отдельных растений и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аэроснимков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поля картофеля [</w:t>
      </w:r>
      <w:r w:rsidRPr="00105DB4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135,</w:t>
      </w:r>
      <w:r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  <w:r w:rsidRPr="00105DB4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136</w:t>
      </w: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]).</w:t>
      </w:r>
    </w:p>
    <w:p w:rsidR="00105DB4" w:rsidRDefault="00105DB4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05DB4" w:rsidRDefault="00105DB4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Pr="00105DB4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2.1</w:t>
      </w:r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Значения диапазонов цвета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225"/>
      </w:tblGrid>
      <w:tr w:rsidR="00105DB4" w:rsidRPr="00105DB4" w:rsidTr="00105DB4">
        <w:tc>
          <w:tcPr>
            <w:tcW w:w="2802" w:type="dxa"/>
          </w:tcPr>
          <w:p w:rsidR="00105DB4" w:rsidRPr="00105DB4" w:rsidRDefault="00105DB4" w:rsidP="00105DB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Тип сегмента</w:t>
            </w:r>
          </w:p>
        </w:tc>
        <w:tc>
          <w:tcPr>
            <w:tcW w:w="2976" w:type="dxa"/>
          </w:tcPr>
          <w:p w:rsidR="00105DB4" w:rsidRPr="00105DB4" w:rsidRDefault="00105DB4" w:rsidP="00105DB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Диапазон оттенка </w:t>
            </w:r>
            <w:proofErr w:type="spellStart"/>
            <w:r w:rsidRPr="00105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Hue</w:t>
            </w:r>
            <w:proofErr w:type="spellEnd"/>
          </w:p>
        </w:tc>
        <w:tc>
          <w:tcPr>
            <w:tcW w:w="3225" w:type="dxa"/>
          </w:tcPr>
          <w:p w:rsidR="00105DB4" w:rsidRPr="00105DB4" w:rsidRDefault="00105DB4" w:rsidP="00105DB4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105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Диапазон насыщенности </w:t>
            </w:r>
            <w:proofErr w:type="spellStart"/>
            <w:r w:rsidRPr="00105DB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Sat</w:t>
            </w:r>
            <w:proofErr w:type="spellEnd"/>
          </w:p>
        </w:tc>
      </w:tr>
      <w:tr w:rsidR="00105DB4" w:rsidRPr="00105DB4" w:rsidTr="00105DB4">
        <w:tc>
          <w:tcPr>
            <w:tcW w:w="2802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105DB4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Здоровый</w:t>
            </w:r>
            <w:proofErr w:type="spellEnd"/>
            <w:r w:rsidRPr="00105DB4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(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зеленый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bookmarkStart w:id="5" w:name="OLE_LINK4"/>
            <w:bookmarkStart w:id="6" w:name="OLE_LINK5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0.1; 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π/2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]</w:t>
            </w:r>
            <w:bookmarkEnd w:id="5"/>
            <w:bookmarkEnd w:id="6"/>
          </w:p>
        </w:tc>
        <w:tc>
          <w:tcPr>
            <w:tcW w:w="3225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[110; 255]</w:t>
            </w:r>
          </w:p>
        </w:tc>
      </w:tr>
      <w:tr w:rsidR="00105DB4" w:rsidRPr="00105DB4" w:rsidTr="00105DB4">
        <w:tc>
          <w:tcPr>
            <w:tcW w:w="2802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Больной (желтый)</w:t>
            </w:r>
          </w:p>
        </w:tc>
        <w:tc>
          <w:tcPr>
            <w:tcW w:w="2976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bookmarkStart w:id="7" w:name="OLE_LINK6"/>
            <w:bookmarkStart w:id="8" w:name="OLE_LINK7"/>
            <w:bookmarkStart w:id="9" w:name="OLE_LINK8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]</w:t>
            </w:r>
            <w:bookmarkEnd w:id="7"/>
            <w:bookmarkEnd w:id="8"/>
            <w:bookmarkEnd w:id="9"/>
          </w:p>
        </w:tc>
        <w:tc>
          <w:tcPr>
            <w:tcW w:w="3225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[170; 255]</w:t>
            </w:r>
          </w:p>
        </w:tc>
      </w:tr>
      <w:tr w:rsidR="00105DB4" w:rsidRPr="00105DB4" w:rsidTr="00105DB4">
        <w:tc>
          <w:tcPr>
            <w:tcW w:w="2802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Больной (буро-зеленый)</w:t>
            </w:r>
          </w:p>
        </w:tc>
        <w:tc>
          <w:tcPr>
            <w:tcW w:w="2976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:rsidR="00105DB4" w:rsidRPr="00105DB4" w:rsidRDefault="00105DB4" w:rsidP="00B64583">
            <w:pPr>
              <w:autoSpaceDE w:val="0"/>
              <w:autoSpaceDN w:val="0"/>
              <w:adjustRightInd w:val="0"/>
              <w:ind w:firstLine="0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[128; 175]</w:t>
            </w:r>
          </w:p>
        </w:tc>
      </w:tr>
    </w:tbl>
    <w:p w:rsidR="00105DB4" w:rsidRDefault="00105DB4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454F1F" w:rsidRPr="00454F1F" w:rsidRDefault="00454F1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задачи мониторинга состояния растительности данные, приведенные в этой таблице, можно отнести к имеющим нормальный цвет (здоровая растительность) либо искомый цвет (пораженная растительность, как желтого, так и буро-зеленого цветов; изменение цвета растительности происходит в связи с разрушением </w:t>
      </w:r>
      <w:proofErr w:type="spellStart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>хлорофила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зеленых частях растений под воздействием развивающегося заболевания). Эти данные получены экспертом в результате анализа исходных данных как отдельных растений, так и участков растительности. Для нормального и для искомого цветов может существовать группа пар интервалов. Примером таких данных являются сведения, приведенные в таблице </w:t>
      </w:r>
      <w:r w:rsidRPr="00454F1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2.1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Сама сегментация осуществляется алгоритмом </w:t>
      </w:r>
      <w:r w:rsidRPr="00454F1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Alg.2.1</w:t>
      </w:r>
      <w:r w:rsidR="00AA557A" w:rsidRPr="00AA5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базе ряда критериев сегментации (наборы диапазонов</w:t>
      </w:r>
      <w:r w:rsidR="00AA55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AA55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значений</w:t>
      </w:r>
      <w:proofErr w:type="spellEnd"/>
      <w:r w:rsidR="00AA55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AA55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оттенка</w:t>
      </w:r>
      <w:proofErr w:type="spellEnd"/>
      <w:r w:rsidR="00AA55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и </w:t>
      </w:r>
      <w:proofErr w:type="spellStart"/>
      <w:r w:rsidR="00AA55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насыщенности</w:t>
      </w:r>
      <w:proofErr w:type="spellEnd"/>
      <w:r w:rsidR="00AA557A" w:rsidRPr="00AA557A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454F1F" w:rsidRPr="00454F1F" w:rsidRDefault="00454F1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57C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Шаг 1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Установить наборы диапазонов значений оттенка </w:t>
      </w:r>
      <w:proofErr w:type="spellStart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насыщенности </w:t>
      </w:r>
      <w:proofErr w:type="spellStart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нормального и искомого цвета: для нормального цвета – </w:t>
      </w:r>
      <w:bookmarkStart w:id="10" w:name="OLE_LINK10"/>
      <w:bookmarkStart w:id="11" w:name="OLE_LINK11"/>
      <w:bookmarkStart w:id="12" w:name="OLE_LINK12"/>
      <w:r w:rsid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eastAsia="ru-RU"/>
        </w:rPr>
        <w:t>i</w:t>
      </w:r>
      <w:r w:rsidRPr="009B0006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N</w:t>
      </w:r>
      <w:proofErr w:type="spellStart"/>
      <w:r w:rsidRPr="009B0006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orm</w:t>
      </w:r>
      <w:bookmarkEnd w:id="10"/>
      <w:bookmarkEnd w:id="11"/>
      <w:bookmarkEnd w:id="12"/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proofErr w:type="gramStart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&lt; </w:t>
      </w:r>
      <w:proofErr w:type="spellStart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proofErr w:type="gram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&lt; </w:t>
      </w:r>
      <w:r w:rsid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eastAsia="ru-RU"/>
        </w:rPr>
        <w:t>i</w:t>
      </w:r>
      <w:r w:rsidR="009B0006" w:rsidRPr="009B0006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N</w:t>
      </w:r>
      <w:proofErr w:type="spellStart"/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orm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9B00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bookmarkStart w:id="13" w:name="OLE_LINK13"/>
      <w:bookmarkStart w:id="14" w:name="OLE_LINK14"/>
      <w:bookmarkStart w:id="15" w:name="OLE_LINK15"/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eastAsia="ru-RU"/>
        </w:rPr>
        <w:t>i</w:t>
      </w:r>
      <w:r w:rsidRPr="009B0006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N</w:t>
      </w:r>
      <w:proofErr w:type="spellStart"/>
      <w:r w:rsidRPr="009B0006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orm</w:t>
      </w:r>
      <w:bookmarkEnd w:id="13"/>
      <w:bookmarkEnd w:id="14"/>
      <w:bookmarkEnd w:id="15"/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&lt; </w:t>
      </w:r>
      <w:proofErr w:type="spellStart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&lt; 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eastAsia="ru-RU"/>
        </w:rPr>
        <w:t>i</w:t>
      </w:r>
      <w:r w:rsidR="009B0006" w:rsidRPr="002354A7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N</w:t>
      </w:r>
      <w:proofErr w:type="spellStart"/>
      <w:r w:rsidR="009B0006" w:rsidRPr="009B0006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orm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для искомого цвета – </w:t>
      </w:r>
      <w:bookmarkStart w:id="16" w:name="OLE_LINK16"/>
      <w:bookmarkStart w:id="17" w:name="OLE_LINK17"/>
      <w:bookmarkStart w:id="18" w:name="OLE_LINK18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r w:rsidRPr="002354A7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eastAsia="ru-RU"/>
        </w:rPr>
        <w:t>j</w:t>
      </w:r>
      <w:r w:rsidRPr="002354A7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A</w:t>
      </w:r>
      <w:proofErr w:type="spellStart"/>
      <w:r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bnorm</w:t>
      </w:r>
      <w:bookmarkEnd w:id="16"/>
      <w:bookmarkEnd w:id="17"/>
      <w:bookmarkEnd w:id="18"/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&lt; </w:t>
      </w:r>
      <w:proofErr w:type="spellStart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&lt; </w:t>
      </w:r>
      <w:r w:rsidR="002354A7"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eastAsia="ru-RU"/>
        </w:rPr>
        <w:t>j</w:t>
      </w:r>
      <w:r w:rsidR="002354A7" w:rsidRPr="002354A7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A</w:t>
      </w:r>
      <w:proofErr w:type="spellStart"/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bnorm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bookmarkStart w:id="19" w:name="OLE_LINK19"/>
      <w:bookmarkStart w:id="20" w:name="OLE_LINK20"/>
      <w:bookmarkStart w:id="21" w:name="OLE_LINK21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r w:rsidRPr="002354A7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eastAsia="ru-RU"/>
        </w:rPr>
        <w:t>j</w:t>
      </w:r>
      <w:r w:rsidRPr="002354A7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A</w:t>
      </w:r>
      <w:proofErr w:type="spellStart"/>
      <w:r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bnorm</w:t>
      </w:r>
      <w:bookmarkEnd w:id="19"/>
      <w:bookmarkEnd w:id="20"/>
      <w:bookmarkEnd w:id="21"/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&lt; </w:t>
      </w:r>
      <w:proofErr w:type="spellStart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&lt; </w:t>
      </w:r>
      <w:r w:rsidR="002354A7"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bscript"/>
          <w:lang w:eastAsia="ru-RU"/>
        </w:rPr>
        <w:t>j</w:t>
      </w:r>
      <w:r w:rsidR="002354A7" w:rsidRPr="002354A7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A</w:t>
      </w:r>
      <w:proofErr w:type="spellStart"/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bnorm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при </w:t>
      </w:r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i</w:t>
      </w:r>
      <w:r w:rsidRPr="002354A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i</w:t>
      </w:r>
      <w:r w:rsidRPr="002354A7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1, ..., </w:t>
      </w:r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N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N</w:t>
      </w:r>
      <w:proofErr w:type="spellStart"/>
      <w:r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orm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j</w:t>
      </w:r>
      <w:r w:rsidRPr="002354A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j</w:t>
      </w:r>
      <w:r w:rsidRPr="002354A7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1, ..., </w:t>
      </w:r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N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A</w:t>
      </w:r>
      <w:proofErr w:type="spellStart"/>
      <w:r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bnorm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где </w:t>
      </w:r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N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N</w:t>
      </w:r>
      <w:proofErr w:type="spellStart"/>
      <w:r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orm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количество диапазонов нормального цвета; где </w:t>
      </w:r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N</w:t>
      </w:r>
      <w:r w:rsidR="002354A7"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val="en-US" w:eastAsia="ru-RU"/>
        </w:rPr>
        <w:t>A</w:t>
      </w:r>
      <w:proofErr w:type="spellStart"/>
      <w:r w:rsidRPr="002354A7">
        <w:rPr>
          <w:rFonts w:ascii="Times New Roman" w:eastAsia="Times New Roman" w:hAnsi="Times New Roman" w:cs="Times New Roman"/>
          <w:i/>
          <w:sz w:val="28"/>
          <w:szCs w:val="24"/>
          <w:vertAlign w:val="superscript"/>
          <w:lang w:eastAsia="ru-RU"/>
        </w:rPr>
        <w:t>bnorm</w:t>
      </w:r>
      <w:proofErr w:type="spellEnd"/>
      <w:r w:rsidRPr="009B00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количество диапазонов искомого цвета. Таким образом, для нормального и для искомого цветов может существовать группа пар интервалов. Примером таких данных являются сведения, приведенные в таблице </w:t>
      </w:r>
      <w:r w:rsidRPr="00454F1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2.1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54F1F" w:rsidRPr="00454F1F" w:rsidRDefault="00454F1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57C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Шаг 2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>. Для каждого пикселя исходного изображения согласно выражениям (</w:t>
      </w:r>
      <w:r w:rsidRPr="00454F1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2.1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>) и (</w:t>
      </w:r>
      <w:r w:rsidRPr="00454F1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2.2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вычисляются значения оттенка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насыщенности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54F1F" w:rsidRPr="00454F1F" w:rsidRDefault="00454F1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57C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Шаг 3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Полученные значения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проверяются на попадания в пары диапазонов, соответствующие нормальным и искомым цветам. Пара значений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считается попавшей в пару диапазонов, тогда и только тогда, когда значение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значение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попадают в соответствующие им диапазоны пары диапазонов. Если хотя бы одно значение не попадает в соответствующий ему диапазон, то пара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Hue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AB57C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Sat</w:t>
      </w:r>
      <w:proofErr w:type="spellEnd"/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считается не попавшей в пару диапазонов.</w:t>
      </w:r>
    </w:p>
    <w:p w:rsidR="00454F1F" w:rsidRPr="00454F1F" w:rsidRDefault="00454F1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57C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Шаг 4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соответствии с группой пар диапазонов, к которой был отнесен проверяемый пиксель задается цвет пикселя конечного изображения с соответствующих координатах. В случае, если пиксель не 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попал в какую-либо группу пар диапазонов, то соответствующий ему пиксель конечного изображения окрашивается в черный цвет.</w:t>
      </w:r>
    </w:p>
    <w:p w:rsidR="00454F1F" w:rsidRDefault="00454F1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B57C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Шаг 5</w:t>
      </w:r>
      <w:r w:rsidRPr="00454F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Полученные значения пикселей формируют изображение с разрешением равным разрешению исходного снимка. </w:t>
      </w:r>
    </w:p>
    <w:p w:rsidR="00773A4F" w:rsidRDefault="00773A4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4502"/>
      </w:tblGrid>
      <w:tr w:rsidR="00773A4F" w:rsidTr="00773A4F">
        <w:tc>
          <w:tcPr>
            <w:tcW w:w="9003" w:type="dxa"/>
            <w:gridSpan w:val="2"/>
          </w:tcPr>
          <w:p w:rsidR="00773A4F" w:rsidRDefault="00773A4F" w:rsidP="00773A4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>
                  <wp:extent cx="5523010" cy="2735534"/>
                  <wp:effectExtent l="19050" t="0" r="14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6991" cy="2737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A4F" w:rsidTr="00773A4F">
        <w:tc>
          <w:tcPr>
            <w:tcW w:w="4501" w:type="dxa"/>
          </w:tcPr>
          <w:p w:rsidR="00773A4F" w:rsidRPr="00773A4F" w:rsidRDefault="00773A4F" w:rsidP="00773A4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а)</w:t>
            </w:r>
          </w:p>
        </w:tc>
        <w:tc>
          <w:tcPr>
            <w:tcW w:w="4502" w:type="dxa"/>
          </w:tcPr>
          <w:p w:rsidR="00773A4F" w:rsidRPr="00773A4F" w:rsidRDefault="00773A4F" w:rsidP="00773A4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б)</w:t>
            </w:r>
          </w:p>
        </w:tc>
      </w:tr>
      <w:tr w:rsidR="00773A4F" w:rsidRPr="00773A4F" w:rsidTr="00773A4F">
        <w:tc>
          <w:tcPr>
            <w:tcW w:w="9003" w:type="dxa"/>
            <w:gridSpan w:val="2"/>
          </w:tcPr>
          <w:p w:rsidR="00773A4F" w:rsidRPr="00773A4F" w:rsidRDefault="00773A4F" w:rsidP="00773A4F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73A4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Рисунок 2.1 – Исходное изображение (а) и результат его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773A4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многокритериальной пороговой сегментации (б)</w:t>
            </w:r>
          </w:p>
        </w:tc>
      </w:tr>
    </w:tbl>
    <w:p w:rsidR="00773A4F" w:rsidRPr="00773A4F" w:rsidRDefault="00773A4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D5BB7" w:rsidRPr="00AD5BB7" w:rsidRDefault="00AD5BB7" w:rsidP="00AD5BB7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К недостаткам этого алгоритма можно отнести:</w:t>
      </w:r>
    </w:p>
    <w:p w:rsidR="00AD5BB7" w:rsidRPr="00AD5BB7" w:rsidRDefault="00AD5BB7" w:rsidP="00AD5BB7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- Высокая чувствительность к качеству исходных данных (наличие посторонних предметов и условия освещений могут создавать искажения).</w:t>
      </w:r>
    </w:p>
    <w:p w:rsidR="00AD5BB7" w:rsidRPr="00AD5BB7" w:rsidRDefault="00AD5BB7" w:rsidP="00AD5BB7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- Необходимость экспертной подготовки для каждого типа исходных данных.</w:t>
      </w:r>
    </w:p>
    <w:p w:rsidR="00AD5BB7" w:rsidRPr="00AD5BB7" w:rsidRDefault="00AD5BB7" w:rsidP="00AD5BB7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Неоднозначная классификация в случаях, когда диапазоны цвета объектов разных классов частично пересекаются. </w:t>
      </w:r>
    </w:p>
    <w:p w:rsidR="00AD5BB7" w:rsidRPr="00AD5BB7" w:rsidRDefault="00AD5BB7" w:rsidP="00AD5BB7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Пример результата выполнения алгоритма </w:t>
      </w:r>
      <w:r w:rsidRPr="00AD5BB7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Alg.2.1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приведен на рисунке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65AA9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2.1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На рисунке </w:t>
      </w:r>
      <w:r w:rsidRPr="00E65AA9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2.1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а приведено изображения участка поля, содержащего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участки пораженной заболеванием растительности (наличие заболевания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отмечено эксперто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На рисунке </w:t>
      </w:r>
      <w:r w:rsidRPr="00E65AA9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2.1б 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зеленым цветом обозначены участки нормального цвета (здоровая 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астительность), желтым – искомо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го (пораженная растительность как желтого, так и буро-зеленого цветов), черным – участки, не отнесенные ни к нормальным, ни к искомым. </w:t>
      </w:r>
    </w:p>
    <w:p w:rsidR="00AD5BB7" w:rsidRPr="00AD5BB7" w:rsidRDefault="00AD5BB7" w:rsidP="00AD5BB7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Многокритериальный пороговый алгоритм сегментации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изображений яв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ляется наиболее простым как с математической, так и с вычислительной точки зрения. Однако использование этого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ограниченно его высо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кой чувствительностью к наличию в кадре солнечных бликов. Поэтом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этот алгоритм можно исполь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зовать для подготовки только грубых карт заболеваемости растительности, в случае, если требуется приблизительная 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ценка уровня заболеваемости. Ис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пользование этого алгоритма ограничено также необходимостью подстройки значений порогов, при использовании различного съемочного оборудования и различных условий освещения.</w:t>
      </w:r>
    </w:p>
    <w:p w:rsidR="00454F1F" w:rsidRPr="00E02227" w:rsidRDefault="00AD5BB7" w:rsidP="00AD5BB7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алгоритм выделяет сегменты,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соответствующие заданным крите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риям. Кроме того, в силу своей простоты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он обладает большей производи</w:t>
      </w:r>
      <w:r w:rsidRPr="00AD5BB7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тельностью, чем рассмотренный выше алгоритм.</w:t>
      </w:r>
    </w:p>
    <w:p w:rsidR="00454F1F" w:rsidRPr="00454F1F" w:rsidRDefault="00454F1F" w:rsidP="00454F1F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40675" w:rsidRPr="00E40675" w:rsidRDefault="00E40675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40675" w:rsidRPr="00E40675" w:rsidRDefault="00E40675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05DB4" w:rsidRPr="00364ACA" w:rsidRDefault="00105DB4" w:rsidP="00105DB4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135.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Zastosowanie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technik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analizy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obrazu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</w:t>
      </w:r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wczesnego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wykrywania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patogeno</w:t>
      </w:r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`</w:t>
      </w:r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ziemniaka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Praca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nie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publicowana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/ B. </w:t>
      </w:r>
      <w:proofErr w:type="spellStart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Sobkowiak</w:t>
      </w:r>
      <w:proofErr w:type="spellEnd"/>
      <w:r w:rsidRPr="00364A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[et al.]. – Poznan`: PIMR, 2006.</w:t>
      </w:r>
    </w:p>
    <w:p w:rsidR="00105DB4" w:rsidRDefault="00105DB4" w:rsidP="00105DB4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136.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Zastosowanie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technik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analizy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obrazu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do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wczesnego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wykrywania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zarazy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ziemnechanej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w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warynkach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polowych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Praca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nie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publicowana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/ B.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Sobkowiak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[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et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al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.]. – </w:t>
      </w:r>
      <w:proofErr w:type="spellStart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Poznan</w:t>
      </w:r>
      <w:proofErr w:type="spellEnd"/>
      <w:r w:rsidRPr="00105DB4">
        <w:rPr>
          <w:rFonts w:ascii="Times New Roman" w:eastAsia="Times New Roman" w:hAnsi="Times New Roman" w:cs="Times New Roman"/>
          <w:sz w:val="28"/>
          <w:szCs w:val="24"/>
          <w:lang w:eastAsia="ru-RU"/>
        </w:rPr>
        <w:t>`: PIMR, 2007.</w:t>
      </w:r>
    </w:p>
    <w:p w:rsidR="00105DB4" w:rsidRPr="00105DB4" w:rsidRDefault="00105DB4" w:rsidP="00105DB4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05DB4" w:rsidRPr="00105DB4" w:rsidRDefault="00105DB4" w:rsidP="00B64583">
      <w:pPr>
        <w:autoSpaceDE w:val="0"/>
        <w:autoSpaceDN w:val="0"/>
        <w:adjustRightInd w:val="0"/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105DB4" w:rsidRPr="00105DB4" w:rsidSect="00B64583">
      <w:pgSz w:w="11906" w:h="16838"/>
      <w:pgMar w:top="1418" w:right="1418" w:bottom="181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7020"/>
    <w:multiLevelType w:val="hybridMultilevel"/>
    <w:tmpl w:val="E86C3DC8"/>
    <w:lvl w:ilvl="0" w:tplc="4538E698">
      <w:start w:val="1"/>
      <w:numFmt w:val="decimal"/>
      <w:pStyle w:val="1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527BC3"/>
    <w:multiLevelType w:val="hybridMultilevel"/>
    <w:tmpl w:val="2A568254"/>
    <w:lvl w:ilvl="0" w:tplc="4378BABC">
      <w:start w:val="1"/>
      <w:numFmt w:val="lowerLetter"/>
      <w:pStyle w:val="a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83"/>
    <w:rsid w:val="0007629C"/>
    <w:rsid w:val="000A32FC"/>
    <w:rsid w:val="00105DB4"/>
    <w:rsid w:val="002354A7"/>
    <w:rsid w:val="00364ACA"/>
    <w:rsid w:val="00454F1F"/>
    <w:rsid w:val="004C16C2"/>
    <w:rsid w:val="0050415D"/>
    <w:rsid w:val="00717801"/>
    <w:rsid w:val="00773A4F"/>
    <w:rsid w:val="007A13F6"/>
    <w:rsid w:val="0084103B"/>
    <w:rsid w:val="009B0006"/>
    <w:rsid w:val="00AA557A"/>
    <w:rsid w:val="00AB38AE"/>
    <w:rsid w:val="00AB57CA"/>
    <w:rsid w:val="00AD5BB7"/>
    <w:rsid w:val="00B451BC"/>
    <w:rsid w:val="00B540A7"/>
    <w:rsid w:val="00B64583"/>
    <w:rsid w:val="00C021F5"/>
    <w:rsid w:val="00D050A4"/>
    <w:rsid w:val="00E02227"/>
    <w:rsid w:val="00E265ED"/>
    <w:rsid w:val="00E40675"/>
    <w:rsid w:val="00E56F7E"/>
    <w:rsid w:val="00E65AA9"/>
    <w:rsid w:val="00F73B3B"/>
    <w:rsid w:val="00F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755E66-5F29-4938-9EE8-ED5B864B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54F1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писок ВНК нумерованный 1"/>
    <w:basedOn w:val="a4"/>
    <w:link w:val="10"/>
    <w:autoRedefine/>
    <w:qFormat/>
    <w:rsid w:val="00E56F7E"/>
    <w:pPr>
      <w:numPr>
        <w:numId w:val="1"/>
      </w:numPr>
      <w:tabs>
        <w:tab w:val="left" w:pos="993"/>
      </w:tabs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E56F7E"/>
    <w:pPr>
      <w:ind w:left="720"/>
      <w:contextualSpacing/>
    </w:pPr>
  </w:style>
  <w:style w:type="character" w:customStyle="1" w:styleId="10">
    <w:name w:val="Список ВНК нумерованный 1 Знак"/>
    <w:basedOn w:val="a1"/>
    <w:link w:val="1"/>
    <w:rsid w:val="00E56F7E"/>
    <w:rPr>
      <w:rFonts w:ascii="Times New Roman" w:eastAsia="Calibri" w:hAnsi="Times New Roman" w:cs="Times New Roman"/>
      <w:sz w:val="28"/>
      <w:szCs w:val="28"/>
    </w:rPr>
  </w:style>
  <w:style w:type="paragraph" w:customStyle="1" w:styleId="a">
    <w:name w:val="Список ВНК нумерованный a"/>
    <w:basedOn w:val="a4"/>
    <w:link w:val="a5"/>
    <w:autoRedefine/>
    <w:qFormat/>
    <w:rsid w:val="00E56F7E"/>
    <w:pPr>
      <w:numPr>
        <w:numId w:val="2"/>
      </w:numPr>
    </w:pPr>
    <w:rPr>
      <w:rFonts w:ascii="Times New Roman" w:eastAsia="Calibri" w:hAnsi="Times New Roman" w:cstheme="minorHAnsi"/>
      <w:sz w:val="28"/>
      <w:szCs w:val="28"/>
    </w:rPr>
  </w:style>
  <w:style w:type="character" w:customStyle="1" w:styleId="a5">
    <w:name w:val="Список ВНК нумерованный a Знак"/>
    <w:basedOn w:val="a1"/>
    <w:link w:val="a"/>
    <w:rsid w:val="00E56F7E"/>
    <w:rPr>
      <w:rFonts w:ascii="Times New Roman" w:eastAsia="Calibri" w:hAnsi="Times New Roman" w:cstheme="minorHAnsi"/>
      <w:sz w:val="28"/>
      <w:szCs w:val="28"/>
    </w:rPr>
  </w:style>
  <w:style w:type="paragraph" w:styleId="a6">
    <w:name w:val="Balloon Text"/>
    <w:basedOn w:val="a0"/>
    <w:link w:val="a7"/>
    <w:uiPriority w:val="99"/>
    <w:semiHidden/>
    <w:unhideWhenUsed/>
    <w:rsid w:val="00105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05DB4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105DB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Николай</cp:lastModifiedBy>
  <cp:revision>2</cp:revision>
  <dcterms:created xsi:type="dcterms:W3CDTF">2016-05-03T07:44:00Z</dcterms:created>
  <dcterms:modified xsi:type="dcterms:W3CDTF">2016-05-03T07:44:00Z</dcterms:modified>
</cp:coreProperties>
</file>