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B5E20"/>
          <w:sz w:val="72"/>
        </w:rPr>
        <w:t>EcoXchange</w:t>
      </w:r>
    </w:p>
    <w:p>
      <w:pPr>
        <w:jc w:val="center"/>
      </w:pPr>
      <w:r>
        <w:rPr>
          <w:color w:val="555555"/>
          <w:sz w:val="36"/>
        </w:rPr>
        <w:t>North Star Document</w:t>
      </w:r>
    </w:p>
    <w:p/>
    <w:p>
      <w:pPr>
        <w:jc w:val="center"/>
      </w:pPr>
      <w:r>
        <w:rPr>
          <w:i/>
          <w:color w:val="666666"/>
          <w:sz w:val="26"/>
        </w:rPr>
        <w:t>Digital Securities Platform for Renewable Energy</w:t>
      </w:r>
    </w:p>
    <w:p/>
    <w:p>
      <w:pPr>
        <w:jc w:val="center"/>
      </w:pPr>
      <w:r>
        <w:rPr>
          <w:color w:val="888888"/>
          <w:sz w:val="22"/>
        </w:rPr>
        <w:t>Version 4.0  |  February 2026</w:t>
      </w:r>
    </w:p>
    <w:p/>
    <w:p>
      <w:pPr>
        <w:jc w:val="center"/>
      </w:pPr>
      <w:r>
        <w:rPr>
          <w:b/>
          <w:color w:val="AA0000"/>
          <w:sz w:val="20"/>
        </w:rPr>
        <w:t>CONFIDENTIAL — Internal &amp; Advisor Use Only</w:t>
      </w:r>
    </w:p>
    <w:p>
      <w:r>
        <w:br w:type="page"/>
      </w:r>
    </w:p>
    <w:p>
      <w:pPr>
        <w:pStyle w:val="Heading1"/>
      </w:pPr>
      <w:r>
        <w:t>1. Origin Story &amp; Founding Vision</w:t>
      </w:r>
    </w:p>
    <w:p>
      <w:pPr>
        <w:pStyle w:val="Heading2"/>
      </w:pPr>
      <w:r>
        <w:t>How We Got Here</w:t>
      </w:r>
    </w:p>
    <w:p>
      <w:r>
        <w:t>EcoXchange was not conceived in a pitch competition or an accelerator brainstorm. It was born from direct, hands-on experience navigating the renewable energy development process on federal land — and discovering firsthand that the infrastructure to fund these projects simply does not exist at the scale where it is most needed.</w:t>
      </w:r>
    </w:p>
    <w:p>
      <w:r>
        <w:t>From November 2024 through February 2025, the founder spent months submitting Plans of Development (PODs) to the Bureau of Land Management across multiple offices in the western United States, including sustained engagement with the renewable energy lead officer at the BLM Tonopah, Nevada office. Through repeated back-and-forth conversations with BLM officials, the founder developed deep operational familiarity with the federal renewable energy permitting process — the timelines, the bottlenecks, and the gap between having a permitted project and actually getting it funded.</w:t>
      </w:r>
    </w:p>
    <w:p>
      <w:r>
        <w:t xml:space="preserve">The consistent pattern was clear: </w:t>
      </w:r>
      <w:r>
        <w:rPr>
          <w:b/>
        </w:rPr>
        <w:t>the problem was never a shortage of viable projects. It was a shortage of efficient capital formation infrastructure for projects below the threshold that institutional project finance will touch.</w:t>
      </w:r>
    </w:p>
    <w:p>
      <w:r>
        <w:t xml:space="preserve">In March 2025, this realization drove a deliberate pivot. Rather than competing for individual project approvals, the founder committed to building the infrastructure layer that could connect the surplus of shovel-ready renewable energy projects with the growing pool of investors seeking real-asset climate exposure. The founding insight was simple: </w:t>
      </w:r>
      <w:r>
        <w:rPr>
          <w:i/>
        </w:rPr>
        <w:t>there should be a compliant, regulated platform for renewable energy securities — infrastructure that makes clean energy investable the way a stock exchange makes equities investable.</w:t>
      </w:r>
    </w:p>
    <w:p>
      <w:pPr>
        <w:pStyle w:val="Heading2"/>
      </w:pPr>
      <w:r>
        <w:t>The Problem</w:t>
      </w:r>
    </w:p>
    <w:p>
      <w:r>
        <w:t>Thousands of permitted, shovel-ready renewable energy projects sit unfunded. Traditional project finance ignores sub-$10M deals because the fixed costs of legal structuring, due diligence, and servicing destroy the economics at smaller scale. Meanwhile, retail and accredited investors want direct climate exposure but lack access to real asset yield. No compliant digital infrastructure exists to bridge this gap.</w:t>
      </w:r>
    </w:p>
    <w:p>
      <w:pPr>
        <w:pStyle w:val="Heading2"/>
      </w:pPr>
      <w:r>
        <w:t>Market Timing</w:t>
      </w:r>
    </w:p>
    <w:p>
      <w:r>
        <w:t>EcoXchange began R&amp;D in March 2025 based on the structural observation that small and mid-market renewable energy projects lacked efficient capital formation channels. In August 2025, federal clean energy funding cuts — including the Solar for All program — validated this thesis dramatically. Developers with permitted projects lost their funding overnight. EcoXchange is building the private capital infrastructure to fill this gap.</w:t>
      </w:r>
    </w:p>
    <w:p>
      <w:r>
        <w:t>The founder's direct experience with BLM offices across the western U.S. provides firsthand understanding of the developer pain point: permitted projects with no path to capital. This is not a theoretical market observation — it is lived experience from the supply side of the market EcoXchange is designed to serve.</w:t>
      </w:r>
    </w:p>
    <w:p>
      <w:pPr>
        <w:pStyle w:val="Heading2"/>
      </w:pPr>
      <w:r>
        <w:t>Long-Term Outcome</w:t>
      </w:r>
    </w:p>
    <w:p>
      <w:r>
        <w:t>EcoXchange becomes the infrastructure layer for issuing, distributing yield from, and eventually trading renewable energy digital securities. Not just capital formation — but issuance, yield distribution, and secondary liquidity.</w:t>
      </w:r>
    </w:p>
    <w:p>
      <w:r>
        <w:br w:type="page"/>
      </w:r>
    </w:p>
    <w:p>
      <w:pPr>
        <w:pStyle w:val="Heading1"/>
      </w:pPr>
      <w:r>
        <w:t>2. Founder &amp; Team</w:t>
      </w:r>
    </w:p>
    <w:p>
      <w:pPr>
        <w:pStyle w:val="Heading2"/>
      </w:pPr>
      <w:r>
        <w:t>Founder Profile</w:t>
      </w:r>
    </w:p>
    <w:p>
      <w:r>
        <w:t>The founder brings a rare combination of direct renewable energy development experience, technical product-building capability, and active pursuit of securities industry credentials.</w:t>
      </w:r>
    </w:p>
    <w:p>
      <w:pPr>
        <w:pStyle w:val="Heading3"/>
      </w:pPr>
      <w:r>
        <w:t>Domain Experience</w:t>
      </w:r>
    </w:p>
    <w:p>
      <w:r>
        <w:t>Hands-on renewable energy development experience through the BLM POD submission process across multiple western states (November 2024 – February 2025). Direct, sustained engagement with BLM renewable energy officers. Operational understanding of permitting timelines, project economics, and the capital gap that kills viable projects. This supply-side experience is the foundation of EcoXchange's product design and go-to-market strategy.</w:t>
      </w:r>
    </w:p>
    <w:p>
      <w:pPr>
        <w:pStyle w:val="Heading3"/>
      </w:pPr>
      <w:r>
        <w:t>Technical Capability</w:t>
      </w:r>
    </w:p>
    <w:p>
      <w:r>
        <w:t>Built a functional prototype of the EcoXchange platform including sandbox KYC/AML verification workflow using Persona integration, mock project listing and investment flow, investor onboarding and project discovery interface, and yield simulation dashboard. The prototype demonstrates end-to-end product thinking: from investor onboarding through compliance gating to project investment and yield tracking.</w:t>
      </w:r>
    </w:p>
    <w:p>
      <w:pPr>
        <w:pStyle w:val="Heading3"/>
      </w:pPr>
      <w:r>
        <w:t>Securities Licensure In Progress</w:t>
      </w:r>
    </w:p>
    <w:p>
      <w:r>
        <w:t>The founder is actively pursuing the following securities industry credentials:</w:t>
      </w:r>
    </w:p>
    <w:tbl>
      <w:tblPr>
        <w:tblStyle w:val="LightGrid-Accent6"/>
        <w:tblW w:type="auto" w:w="0"/>
        <w:jc w:val="center"/>
        <w:tblLook w:firstColumn="1" w:firstRow="1" w:lastColumn="0" w:lastRow="0" w:noHBand="0" w:noVBand="1" w:val="04A0"/>
      </w:tblPr>
      <w:tblGrid>
        <w:gridCol w:w="3120"/>
        <w:gridCol w:w="3120"/>
        <w:gridCol w:w="3120"/>
      </w:tblGrid>
      <w:tr>
        <w:tc>
          <w:tcPr>
            <w:tcW w:type="dxa" w:w="3120"/>
          </w:tcPr>
          <w:p>
            <w:pPr>
              <w:jc w:val="left"/>
            </w:pPr>
            <w:r>
              <w:rPr>
                <w:rFonts w:ascii="Calibri" w:hAnsi="Calibri"/>
                <w:b/>
                <w:sz w:val="20"/>
              </w:rPr>
              <w:t>Credential</w:t>
            </w:r>
          </w:p>
        </w:tc>
        <w:tc>
          <w:tcPr>
            <w:tcW w:type="dxa" w:w="3120"/>
          </w:tcPr>
          <w:p>
            <w:pPr>
              <w:jc w:val="left"/>
            </w:pPr>
            <w:r>
              <w:rPr>
                <w:rFonts w:ascii="Calibri" w:hAnsi="Calibri"/>
                <w:b/>
                <w:sz w:val="20"/>
              </w:rPr>
              <w:t>Purpose</w:t>
            </w:r>
          </w:p>
        </w:tc>
        <w:tc>
          <w:tcPr>
            <w:tcW w:type="dxa" w:w="3120"/>
          </w:tcPr>
          <w:p>
            <w:pPr>
              <w:jc w:val="left"/>
            </w:pPr>
            <w:r>
              <w:rPr>
                <w:rFonts w:ascii="Calibri" w:hAnsi="Calibri"/>
                <w:b/>
                <w:sz w:val="20"/>
              </w:rPr>
              <w:t>Status</w:t>
            </w:r>
          </w:p>
        </w:tc>
      </w:tr>
      <w:tr>
        <w:tc>
          <w:tcPr>
            <w:tcW w:type="dxa" w:w="3120"/>
          </w:tcPr>
          <w:p>
            <w:r>
              <w:rPr>
                <w:rFonts w:ascii="Calibri" w:hAnsi="Calibri"/>
                <w:sz w:val="20"/>
              </w:rPr>
              <w:t>Securities Industry Essentials (SIE)</w:t>
            </w:r>
          </w:p>
        </w:tc>
        <w:tc>
          <w:tcPr>
            <w:tcW w:type="dxa" w:w="3120"/>
          </w:tcPr>
          <w:p>
            <w:r>
              <w:rPr>
                <w:rFonts w:ascii="Calibri" w:hAnsi="Calibri"/>
                <w:sz w:val="20"/>
              </w:rPr>
              <w:t>Foundation for securities industry operation; prerequisite for Series-level licenses</w:t>
            </w:r>
          </w:p>
        </w:tc>
        <w:tc>
          <w:tcPr>
            <w:tcW w:type="dxa" w:w="3120"/>
          </w:tcPr>
          <w:p>
            <w:r>
              <w:rPr>
                <w:rFonts w:ascii="Calibri" w:hAnsi="Calibri"/>
                <w:sz w:val="20"/>
              </w:rPr>
              <w:t>In Progress</w:t>
            </w:r>
          </w:p>
        </w:tc>
      </w:tr>
      <w:tr>
        <w:tc>
          <w:tcPr>
            <w:tcW w:type="dxa" w:w="3120"/>
          </w:tcPr>
          <w:p>
            <w:r>
              <w:rPr>
                <w:rFonts w:ascii="Calibri" w:hAnsi="Calibri"/>
                <w:sz w:val="20"/>
              </w:rPr>
              <w:t>Series 63 (Uniform Securities Agent)</w:t>
            </w:r>
          </w:p>
        </w:tc>
        <w:tc>
          <w:tcPr>
            <w:tcW w:type="dxa" w:w="3120"/>
          </w:tcPr>
          <w:p>
            <w:r>
              <w:rPr>
                <w:rFonts w:ascii="Calibri" w:hAnsi="Calibri"/>
                <w:sz w:val="20"/>
              </w:rPr>
              <w:t>State-level securities law; critical for blue sky compliance across jurisdictions</w:t>
            </w:r>
          </w:p>
        </w:tc>
        <w:tc>
          <w:tcPr>
            <w:tcW w:type="dxa" w:w="3120"/>
          </w:tcPr>
          <w:p>
            <w:r>
              <w:rPr>
                <w:rFonts w:ascii="Calibri" w:hAnsi="Calibri"/>
                <w:sz w:val="20"/>
              </w:rPr>
              <w:t>In Progress</w:t>
            </w:r>
          </w:p>
        </w:tc>
      </w:tr>
      <w:tr>
        <w:tc>
          <w:tcPr>
            <w:tcW w:type="dxa" w:w="3120"/>
          </w:tcPr>
          <w:p>
            <w:r>
              <w:rPr>
                <w:rFonts w:ascii="Calibri" w:hAnsi="Calibri"/>
                <w:sz w:val="20"/>
              </w:rPr>
              <w:t>Digital Asset Certification</w:t>
            </w:r>
          </w:p>
        </w:tc>
        <w:tc>
          <w:tcPr>
            <w:tcW w:type="dxa" w:w="3120"/>
          </w:tcPr>
          <w:p>
            <w:r>
              <w:rPr>
                <w:rFonts w:ascii="Calibri" w:hAnsi="Calibri"/>
                <w:sz w:val="20"/>
              </w:rPr>
              <w:t>Cross-domain fluency in digital asset infrastructure, custody, and regulation</w:t>
            </w:r>
          </w:p>
        </w:tc>
        <w:tc>
          <w:tcPr>
            <w:tcW w:type="dxa" w:w="3120"/>
          </w:tcPr>
          <w:p>
            <w:r>
              <w:rPr>
                <w:rFonts w:ascii="Calibri" w:hAnsi="Calibri"/>
                <w:sz w:val="20"/>
              </w:rPr>
              <w:t>In Progress</w:t>
            </w:r>
          </w:p>
        </w:tc>
      </w:tr>
    </w:tbl>
    <w:p/>
    <w:p>
      <w:r>
        <w:t xml:space="preserve">This licensure path is strategically significant. </w:t>
      </w:r>
      <w:r>
        <w:rPr>
          <w:b/>
        </w:rPr>
        <w:t>EcoXchange is a securities company that uses technology, not a technology company that happens to touch securities.</w:t>
      </w:r>
      <w:r>
        <w:t xml:space="preserve"> The founder's personal investment in understanding the regulatory framework — rather than outsourcing it entirely — demonstrates the seriousness with which compliance is treated. Upon SIE completion, the pathway to Series 7 or Series 82 (private securities offerings) becomes available, potentially reducing long-term dependency on external broker-dealer partnerships.</w:t>
      </w:r>
    </w:p>
    <w:p>
      <w:pPr>
        <w:pStyle w:val="Heading3"/>
      </w:pPr>
      <w:r>
        <w:t>Key Hires Needed</w:t>
      </w:r>
    </w:p>
    <w:tbl>
      <w:tblPr>
        <w:tblStyle w:val="LightGrid-Accent6"/>
        <w:tblW w:type="auto" w:w="0"/>
        <w:jc w:val="center"/>
        <w:tblLook w:firstColumn="1" w:firstRow="1" w:lastColumn="0" w:lastRow="0" w:noHBand="0" w:noVBand="1" w:val="04A0"/>
      </w:tblPr>
      <w:tblGrid>
        <w:gridCol w:w="3120"/>
        <w:gridCol w:w="3120"/>
        <w:gridCol w:w="3120"/>
      </w:tblGrid>
      <w:tr>
        <w:tc>
          <w:tcPr>
            <w:tcW w:type="dxa" w:w="3120"/>
          </w:tcPr>
          <w:p>
            <w:pPr>
              <w:jc w:val="left"/>
            </w:pPr>
            <w:r>
              <w:rPr>
                <w:rFonts w:ascii="Calibri" w:hAnsi="Calibri"/>
                <w:b/>
                <w:sz w:val="20"/>
              </w:rPr>
              <w:t>Role</w:t>
            </w:r>
          </w:p>
        </w:tc>
        <w:tc>
          <w:tcPr>
            <w:tcW w:type="dxa" w:w="3120"/>
          </w:tcPr>
          <w:p>
            <w:pPr>
              <w:jc w:val="left"/>
            </w:pPr>
            <w:r>
              <w:rPr>
                <w:rFonts w:ascii="Calibri" w:hAnsi="Calibri"/>
                <w:b/>
                <w:sz w:val="20"/>
              </w:rPr>
              <w:t>Priority</w:t>
            </w:r>
          </w:p>
        </w:tc>
        <w:tc>
          <w:tcPr>
            <w:tcW w:type="dxa" w:w="3120"/>
          </w:tcPr>
          <w:p>
            <w:pPr>
              <w:jc w:val="left"/>
            </w:pPr>
            <w:r>
              <w:rPr>
                <w:rFonts w:ascii="Calibri" w:hAnsi="Calibri"/>
                <w:b/>
                <w:sz w:val="20"/>
              </w:rPr>
              <w:t>Rationale</w:t>
            </w:r>
          </w:p>
        </w:tc>
      </w:tr>
      <w:tr>
        <w:tc>
          <w:tcPr>
            <w:tcW w:type="dxa" w:w="3120"/>
          </w:tcPr>
          <w:p>
            <w:r>
              <w:rPr>
                <w:rFonts w:ascii="Calibri" w:hAnsi="Calibri"/>
                <w:sz w:val="20"/>
              </w:rPr>
              <w:t>Securities Counsel (External)</w:t>
            </w:r>
          </w:p>
        </w:tc>
        <w:tc>
          <w:tcPr>
            <w:tcW w:type="dxa" w:w="3120"/>
          </w:tcPr>
          <w:p>
            <w:r>
              <w:rPr>
                <w:rFonts w:ascii="Calibri" w:hAnsi="Calibri"/>
                <w:sz w:val="20"/>
              </w:rPr>
              <w:t>Critical — Immediate</w:t>
            </w:r>
          </w:p>
        </w:tc>
        <w:tc>
          <w:tcPr>
            <w:tcW w:type="dxa" w:w="3120"/>
          </w:tcPr>
          <w:p>
            <w:r>
              <w:rPr>
                <w:rFonts w:ascii="Calibri" w:hAnsi="Calibri"/>
                <w:sz w:val="20"/>
              </w:rPr>
              <w:t>SPV structuring, PPM drafting, Form D filing, compliance architecture</w:t>
            </w:r>
          </w:p>
        </w:tc>
      </w:tr>
      <w:tr>
        <w:tc>
          <w:tcPr>
            <w:tcW w:type="dxa" w:w="3120"/>
          </w:tcPr>
          <w:p>
            <w:r>
              <w:rPr>
                <w:rFonts w:ascii="Calibri" w:hAnsi="Calibri"/>
                <w:sz w:val="20"/>
              </w:rPr>
              <w:t>Regulatory / Compliance Lead</w:t>
            </w:r>
          </w:p>
        </w:tc>
        <w:tc>
          <w:tcPr>
            <w:tcW w:type="dxa" w:w="3120"/>
          </w:tcPr>
          <w:p>
            <w:r>
              <w:rPr>
                <w:rFonts w:ascii="Calibri" w:hAnsi="Calibri"/>
                <w:sz w:val="20"/>
              </w:rPr>
              <w:t>High — Pre-Launch</w:t>
            </w:r>
          </w:p>
        </w:tc>
        <w:tc>
          <w:tcPr>
            <w:tcW w:type="dxa" w:w="3120"/>
          </w:tcPr>
          <w:p>
            <w:r>
              <w:rPr>
                <w:rFonts w:ascii="Calibri" w:hAnsi="Calibri"/>
                <w:sz w:val="20"/>
              </w:rPr>
              <w:t>Ongoing compliance operations, BD partnership management, KYC/AML oversight</w:t>
            </w:r>
          </w:p>
        </w:tc>
      </w:tr>
      <w:tr>
        <w:tc>
          <w:tcPr>
            <w:tcW w:type="dxa" w:w="3120"/>
          </w:tcPr>
          <w:p>
            <w:r>
              <w:rPr>
                <w:rFonts w:ascii="Calibri" w:hAnsi="Calibri"/>
                <w:sz w:val="20"/>
              </w:rPr>
              <w:t>Technical Co-Founder or Lead Engineer</w:t>
            </w:r>
          </w:p>
        </w:tc>
        <w:tc>
          <w:tcPr>
            <w:tcW w:type="dxa" w:w="3120"/>
          </w:tcPr>
          <w:p>
            <w:r>
              <w:rPr>
                <w:rFonts w:ascii="Calibri" w:hAnsi="Calibri"/>
                <w:sz w:val="20"/>
              </w:rPr>
              <w:t>High — With Seed Capital</w:t>
            </w:r>
          </w:p>
        </w:tc>
        <w:tc>
          <w:tcPr>
            <w:tcW w:type="dxa" w:w="3120"/>
          </w:tcPr>
          <w:p>
            <w:r>
              <w:rPr>
                <w:rFonts w:ascii="Calibri" w:hAnsi="Calibri"/>
                <w:sz w:val="20"/>
              </w:rPr>
              <w:t>Scale platform from prototype to production; blockchain/smart contract expertise</w:t>
            </w:r>
          </w:p>
        </w:tc>
      </w:tr>
      <w:tr>
        <w:tc>
          <w:tcPr>
            <w:tcW w:type="dxa" w:w="3120"/>
          </w:tcPr>
          <w:p>
            <w:r>
              <w:rPr>
                <w:rFonts w:ascii="Calibri" w:hAnsi="Calibri"/>
                <w:sz w:val="20"/>
              </w:rPr>
              <w:t>Business Development (Supply Side)</w:t>
            </w:r>
          </w:p>
        </w:tc>
        <w:tc>
          <w:tcPr>
            <w:tcW w:type="dxa" w:w="3120"/>
          </w:tcPr>
          <w:p>
            <w:r>
              <w:rPr>
                <w:rFonts w:ascii="Calibri" w:hAnsi="Calibri"/>
                <w:sz w:val="20"/>
              </w:rPr>
              <w:t>Medium — Post First Offering</w:t>
            </w:r>
          </w:p>
        </w:tc>
        <w:tc>
          <w:tcPr>
            <w:tcW w:type="dxa" w:w="3120"/>
          </w:tcPr>
          <w:p>
            <w:r>
              <w:rPr>
                <w:rFonts w:ascii="Calibri" w:hAnsi="Calibri"/>
                <w:sz w:val="20"/>
              </w:rPr>
              <w:t>Developer pipeline expansion, project sourcing and vetting</w:t>
            </w:r>
          </w:p>
        </w:tc>
      </w:tr>
    </w:tbl>
    <w:p>
      <w:r>
        <w:br w:type="page"/>
      </w:r>
    </w:p>
    <w:p>
      <w:pPr>
        <w:pStyle w:val="Heading1"/>
      </w:pPr>
      <w:r>
        <w:t>3. Positioning</w:t>
      </w:r>
    </w:p>
    <w:p>
      <w:pPr>
        <w:pStyle w:val="Heading2"/>
      </w:pPr>
      <w:r>
        <w:t>Phase 1 Positioning Statement</w:t>
      </w:r>
    </w:p>
    <w:p>
      <w:pPr>
        <w:ind w:left="850" w:right="850"/>
      </w:pPr>
      <w:r>
        <w:rPr>
          <w:i/>
          <w:color w:val="333333"/>
          <w:sz w:val="22"/>
        </w:rPr>
        <w:t>EcoXchange is a digital securities platform for renewable energy, enabling accredited investors to earn yield backed by real-world energy production.</w:t>
      </w:r>
    </w:p>
    <w:p>
      <w:pPr>
        <w:pStyle w:val="Heading2"/>
      </w:pPr>
      <w:r>
        <w:t>Technical Positioning</w:t>
      </w:r>
    </w:p>
    <w:p>
      <w:r>
        <w:t>EcoXchange provides compliant digital issuance, yield distribution, and investment infrastructure for tokenized renewable energy securities structured as SPV membership interests under Reg D 506(c).</w:t>
      </w:r>
    </w:p>
    <w:p>
      <w:pPr>
        <w:pStyle w:val="Heading2"/>
      </w:pPr>
      <w:r>
        <w:t>Positioning Evolution</w:t>
      </w:r>
    </w:p>
    <w:tbl>
      <w:tblPr>
        <w:tblStyle w:val="LightGrid-Accent6"/>
        <w:tblW w:type="auto" w:w="0"/>
        <w:jc w:val="center"/>
        <w:tblLook w:firstColumn="1" w:firstRow="1" w:lastColumn="0" w:lastRow="0" w:noHBand="0" w:noVBand="1" w:val="04A0"/>
      </w:tblPr>
      <w:tblGrid>
        <w:gridCol w:w="4680"/>
        <w:gridCol w:w="4680"/>
      </w:tblGrid>
      <w:tr>
        <w:tc>
          <w:tcPr>
            <w:tcW w:type="dxa" w:w="4680"/>
          </w:tcPr>
          <w:p>
            <w:pPr>
              <w:jc w:val="left"/>
            </w:pPr>
            <w:r>
              <w:rPr>
                <w:rFonts w:ascii="Calibri" w:hAnsi="Calibri"/>
                <w:b/>
                <w:sz w:val="20"/>
              </w:rPr>
              <w:t>Phase</w:t>
            </w:r>
          </w:p>
        </w:tc>
        <w:tc>
          <w:tcPr>
            <w:tcW w:type="dxa" w:w="4680"/>
          </w:tcPr>
          <w:p>
            <w:pPr>
              <w:jc w:val="left"/>
            </w:pPr>
            <w:r>
              <w:rPr>
                <w:rFonts w:ascii="Calibri" w:hAnsi="Calibri"/>
                <w:b/>
                <w:sz w:val="20"/>
              </w:rPr>
              <w:t>Positioning</w:t>
            </w:r>
          </w:p>
        </w:tc>
      </w:tr>
      <w:tr>
        <w:tc>
          <w:tcPr>
            <w:tcW w:type="dxa" w:w="4680"/>
          </w:tcPr>
          <w:p>
            <w:r>
              <w:rPr>
                <w:rFonts w:ascii="Calibri" w:hAnsi="Calibri"/>
                <w:sz w:val="20"/>
              </w:rPr>
              <w:t>Phase 1</w:t>
            </w:r>
          </w:p>
        </w:tc>
        <w:tc>
          <w:tcPr>
            <w:tcW w:type="dxa" w:w="4680"/>
          </w:tcPr>
          <w:p>
            <w:r>
              <w:rPr>
                <w:rFonts w:ascii="Calibri" w:hAnsi="Calibri"/>
                <w:sz w:val="20"/>
              </w:rPr>
              <w:t>Digital securities issuance and yield platform</w:t>
            </w:r>
          </w:p>
        </w:tc>
      </w:tr>
      <w:tr>
        <w:tc>
          <w:tcPr>
            <w:tcW w:type="dxa" w:w="4680"/>
          </w:tcPr>
          <w:p>
            <w:r>
              <w:rPr>
                <w:rFonts w:ascii="Calibri" w:hAnsi="Calibri"/>
                <w:sz w:val="20"/>
              </w:rPr>
              <w:t>Phase 2</w:t>
            </w:r>
          </w:p>
        </w:tc>
        <w:tc>
          <w:tcPr>
            <w:tcW w:type="dxa" w:w="4680"/>
          </w:tcPr>
          <w:p>
            <w:r>
              <w:rPr>
                <w:rFonts w:ascii="Calibri" w:hAnsi="Calibri"/>
                <w:sz w:val="20"/>
              </w:rPr>
              <w:t>Integrated securities and yield distribution infrastructure</w:t>
            </w:r>
          </w:p>
        </w:tc>
      </w:tr>
      <w:tr>
        <w:tc>
          <w:tcPr>
            <w:tcW w:type="dxa" w:w="4680"/>
          </w:tcPr>
          <w:p>
            <w:r>
              <w:rPr>
                <w:rFonts w:ascii="Calibri" w:hAnsi="Calibri"/>
                <w:sz w:val="20"/>
              </w:rPr>
              <w:t>Phase 3</w:t>
            </w:r>
          </w:p>
        </w:tc>
        <w:tc>
          <w:tcPr>
            <w:tcW w:type="dxa" w:w="4680"/>
          </w:tcPr>
          <w:p>
            <w:r>
              <w:rPr>
                <w:rFonts w:ascii="Calibri" w:hAnsi="Calibri"/>
                <w:sz w:val="20"/>
              </w:rPr>
              <w:t>Regulated marketplace for renewable energy securities</w:t>
            </w:r>
          </w:p>
        </w:tc>
      </w:tr>
    </w:tbl>
    <w:p/>
    <w:p>
      <w:pPr>
        <w:pStyle w:val="Heading2"/>
      </w:pPr>
      <w:r>
        <w:t>Brand Language</w:t>
      </w:r>
    </w:p>
    <w:p>
      <w:r>
        <w:rPr>
          <w:b/>
        </w:rPr>
        <w:t xml:space="preserve">Use: </w:t>
      </w:r>
      <w:r>
        <w:t>digital securities, structured yield, compliant platform, regulated infrastructure, asset-backed tokens, private capital infrastructure.</w:t>
      </w:r>
    </w:p>
    <w:p>
      <w:r>
        <w:rPr>
          <w:b/>
        </w:rPr>
        <w:t xml:space="preserve">Avoid: </w:t>
      </w:r>
      <w:r>
        <w:t>crypto exchange, DeFi, permissionless, unregulated, democratizing finance (unless in regulatory context), marketplace (until Phase 3).</w:t>
      </w:r>
    </w:p>
    <w:p>
      <w:pPr>
        <w:pStyle w:val="Heading2"/>
      </w:pPr>
      <w:r>
        <w:t>Naming Status</w:t>
      </w:r>
    </w:p>
    <w:p>
      <w:r>
        <w:t>A UK-based company called "ecoXchange" operates in an adjacent sustainability space. A USPTO trademark search is required before further brand investment. The team is open to renaming if a conflict is confirmed. A custom domain must be secured before any investor-facing activity.</w:t>
      </w:r>
    </w:p>
    <w:p>
      <w:r>
        <w:br w:type="page"/>
      </w:r>
    </w:p>
    <w:p>
      <w:pPr>
        <w:pStyle w:val="Heading1"/>
      </w:pPr>
      <w:r>
        <w:t>4. The Financial Product</w:t>
      </w:r>
    </w:p>
    <w:tbl>
      <w:tblPr>
        <w:tblStyle w:val="LightGrid-Accent6"/>
        <w:tblW w:type="auto" w:w="0"/>
        <w:jc w:val="center"/>
        <w:tblLook w:firstColumn="1" w:firstRow="1" w:lastColumn="0" w:lastRow="0" w:noHBand="0" w:noVBand="1" w:val="04A0"/>
      </w:tblPr>
      <w:tblGrid>
        <w:gridCol w:w="4680"/>
        <w:gridCol w:w="4680"/>
      </w:tblGrid>
      <w:tr>
        <w:tc>
          <w:tcPr>
            <w:tcW w:type="dxa" w:w="4680"/>
          </w:tcPr>
          <w:p>
            <w:pPr>
              <w:jc w:val="left"/>
            </w:pPr>
            <w:r>
              <w:rPr>
                <w:rFonts w:ascii="Calibri" w:hAnsi="Calibri"/>
                <w:b/>
                <w:sz w:val="20"/>
              </w:rPr>
              <w:t>Element</w:t>
            </w:r>
          </w:p>
        </w:tc>
        <w:tc>
          <w:tcPr>
            <w:tcW w:type="dxa" w:w="4680"/>
          </w:tcPr>
          <w:p>
            <w:pPr>
              <w:jc w:val="left"/>
            </w:pPr>
            <w:r>
              <w:rPr>
                <w:rFonts w:ascii="Calibri" w:hAnsi="Calibri"/>
                <w:b/>
                <w:sz w:val="20"/>
              </w:rPr>
              <w:t>Detail</w:t>
            </w:r>
          </w:p>
        </w:tc>
      </w:tr>
      <w:tr>
        <w:tc>
          <w:tcPr>
            <w:tcW w:type="dxa" w:w="4680"/>
          </w:tcPr>
          <w:p>
            <w:r>
              <w:rPr>
                <w:rFonts w:ascii="Calibri" w:hAnsi="Calibri"/>
                <w:sz w:val="20"/>
              </w:rPr>
              <w:t>Asset Type</w:t>
            </w:r>
          </w:p>
        </w:tc>
        <w:tc>
          <w:tcPr>
            <w:tcW w:type="dxa" w:w="4680"/>
          </w:tcPr>
          <w:p>
            <w:r>
              <w:rPr>
                <w:rFonts w:ascii="Calibri" w:hAnsi="Calibri"/>
                <w:sz w:val="20"/>
              </w:rPr>
              <w:t>Digitized renewable energy securities</w:t>
            </w:r>
          </w:p>
        </w:tc>
      </w:tr>
      <w:tr>
        <w:tc>
          <w:tcPr>
            <w:tcW w:type="dxa" w:w="4680"/>
          </w:tcPr>
          <w:p>
            <w:r>
              <w:rPr>
                <w:rFonts w:ascii="Calibri" w:hAnsi="Calibri"/>
                <w:sz w:val="20"/>
              </w:rPr>
              <w:t>Structure</w:t>
            </w:r>
          </w:p>
        </w:tc>
        <w:tc>
          <w:tcPr>
            <w:tcW w:type="dxa" w:w="4680"/>
          </w:tcPr>
          <w:p>
            <w:r>
              <w:rPr>
                <w:rFonts w:ascii="Calibri" w:hAnsi="Calibri"/>
                <w:sz w:val="20"/>
              </w:rPr>
              <w:t>Security token representing SPV membership interest (equity, revenue-share, or structured yield claim)</w:t>
            </w:r>
          </w:p>
        </w:tc>
      </w:tr>
      <w:tr>
        <w:tc>
          <w:tcPr>
            <w:tcW w:type="dxa" w:w="4680"/>
          </w:tcPr>
          <w:p>
            <w:r>
              <w:rPr>
                <w:rFonts w:ascii="Calibri" w:hAnsi="Calibri"/>
                <w:sz w:val="20"/>
              </w:rPr>
              <w:t>Backing</w:t>
            </w:r>
          </w:p>
        </w:tc>
        <w:tc>
          <w:tcPr>
            <w:tcW w:type="dxa" w:w="4680"/>
          </w:tcPr>
          <w:p>
            <w:r>
              <w:rPr>
                <w:rFonts w:ascii="Calibri" w:hAnsi="Calibri"/>
                <w:sz w:val="20"/>
              </w:rPr>
              <w:t>Real-world renewable energy projects held in project-level SPVs (Delaware LLCs)</w:t>
            </w:r>
          </w:p>
        </w:tc>
      </w:tr>
      <w:tr>
        <w:tc>
          <w:tcPr>
            <w:tcW w:type="dxa" w:w="4680"/>
          </w:tcPr>
          <w:p>
            <w:r>
              <w:rPr>
                <w:rFonts w:ascii="Calibri" w:hAnsi="Calibri"/>
                <w:sz w:val="20"/>
              </w:rPr>
              <w:t>Yield Source</w:t>
            </w:r>
          </w:p>
        </w:tc>
        <w:tc>
          <w:tcPr>
            <w:tcW w:type="dxa" w:w="4680"/>
          </w:tcPr>
          <w:p>
            <w:r>
              <w:rPr>
                <w:rFonts w:ascii="Calibri" w:hAnsi="Calibri"/>
                <w:sz w:val="20"/>
              </w:rPr>
              <w:t>Energy production revenue, Power Purchase Agreements (PPAs), structured project cash flows</w:t>
            </w:r>
          </w:p>
        </w:tc>
      </w:tr>
      <w:tr>
        <w:tc>
          <w:tcPr>
            <w:tcW w:type="dxa" w:w="4680"/>
          </w:tcPr>
          <w:p>
            <w:r>
              <w:rPr>
                <w:rFonts w:ascii="Calibri" w:hAnsi="Calibri"/>
                <w:sz w:val="20"/>
              </w:rPr>
              <w:t>Deal Size</w:t>
            </w:r>
          </w:p>
        </w:tc>
        <w:tc>
          <w:tcPr>
            <w:tcW w:type="dxa" w:w="4680"/>
          </w:tcPr>
          <w:p>
            <w:r>
              <w:rPr>
                <w:rFonts w:ascii="Calibri" w:hAnsi="Calibri"/>
                <w:sz w:val="20"/>
              </w:rPr>
              <w:t>$1M – $5M per project offering (Phase 1)</w:t>
            </w:r>
          </w:p>
        </w:tc>
      </w:tr>
      <w:tr>
        <w:tc>
          <w:tcPr>
            <w:tcW w:type="dxa" w:w="4680"/>
          </w:tcPr>
          <w:p>
            <w:r>
              <w:rPr>
                <w:rFonts w:ascii="Calibri" w:hAnsi="Calibri"/>
                <w:sz w:val="20"/>
              </w:rPr>
              <w:t>Minimum Investment</w:t>
            </w:r>
          </w:p>
        </w:tc>
        <w:tc>
          <w:tcPr>
            <w:tcW w:type="dxa" w:w="4680"/>
          </w:tcPr>
          <w:p>
            <w:r>
              <w:rPr>
                <w:rFonts w:ascii="Calibri" w:hAnsi="Calibri"/>
                <w:sz w:val="20"/>
              </w:rPr>
              <w:t>TBD — targeting $10K–$25K to balance access with accredited investor expectations</w:t>
            </w:r>
          </w:p>
        </w:tc>
      </w:tr>
    </w:tbl>
    <w:p/>
    <w:p>
      <w:pPr>
        <w:pStyle w:val="Heading2"/>
      </w:pPr>
      <w:r>
        <w:t>Core Characteristics</w:t>
      </w:r>
    </w:p>
    <w:p>
      <w:r>
        <w:rPr>
          <w:b/>
        </w:rPr>
        <w:t xml:space="preserve">Income-generating: </w:t>
      </w:r>
      <w:r>
        <w:t>yield derived from contracted energy revenues.</w:t>
      </w:r>
    </w:p>
    <w:p>
      <w:r>
        <w:rPr>
          <w:b/>
        </w:rPr>
        <w:t xml:space="preserve">Asset-backed: </w:t>
      </w:r>
      <w:r>
        <w:t>every token represents a claim on a real energy project SPV.</w:t>
      </w:r>
    </w:p>
    <w:p>
      <w:r>
        <w:rPr>
          <w:b/>
        </w:rPr>
        <w:t xml:space="preserve">Transparent: </w:t>
      </w:r>
      <w:r>
        <w:t>production data, revenue flows, and distributions visible on platform.</w:t>
      </w:r>
    </w:p>
    <w:p>
      <w:r>
        <w:rPr>
          <w:b/>
        </w:rPr>
        <w:t xml:space="preserve">Programmable: </w:t>
      </w:r>
      <w:r>
        <w:t>distribution logic enforced through smart compliance engine.</w:t>
      </w:r>
    </w:p>
    <w:p>
      <w:r>
        <w:rPr>
          <w:b/>
        </w:rPr>
        <w:t xml:space="preserve">Compliant: </w:t>
      </w:r>
      <w:r>
        <w:t>issued under SEC exemptions with transfer restrictions.</w:t>
      </w:r>
    </w:p>
    <w:p>
      <w:r>
        <w:rPr>
          <w:b/>
        </w:rPr>
        <w:t xml:space="preserve">Tradable: </w:t>
      </w:r>
      <w:r>
        <w:t>secondary market planned for Phase 3 via ATS integration.</w:t>
      </w:r>
    </w:p>
    <w:p>
      <w:pPr>
        <w:pStyle w:val="Heading2"/>
      </w:pPr>
      <w:r>
        <w:t>SPV Structure</w:t>
      </w:r>
    </w:p>
    <w:p>
      <w:r>
        <w:t>Each renewable energy project is held within a dedicated Special Purpose Vehicle (Delaware LLC). EcoXchange facilitates the tokenization of membership interests in these SPVs. The SPV isolates the project legally, gives investors a clean security to hold, and separates the developer's other assets. Revenue flows from energy production through the PPA into the SPV, and is then distributed pro rata to token holders after operating expenses, debt service, and reserves.</w:t>
      </w:r>
    </w:p>
    <w:p>
      <w:r>
        <w:br w:type="page"/>
      </w:r>
    </w:p>
    <w:p>
      <w:pPr>
        <w:pStyle w:val="Heading1"/>
      </w:pPr>
      <w:r>
        <w:t>5. Revenue Model</w:t>
      </w:r>
    </w:p>
    <w:p>
      <w:r>
        <w:t>EcoXchange operates a developer-pays-primary fee model. Project developers bear the primary cost of accessing capital through the platform, keeping investor friction minimal during the critical network-building phase.</w:t>
      </w:r>
    </w:p>
    <w:p>
      <w:pPr>
        <w:pStyle w:val="Heading2"/>
      </w:pPr>
      <w:r>
        <w:t>Phase 1 Fee Structure</w:t>
      </w:r>
    </w:p>
    <w:tbl>
      <w:tblPr>
        <w:tblStyle w:val="LightGrid-Accent6"/>
        <w:tblW w:type="auto" w:w="0"/>
        <w:jc w:val="center"/>
        <w:tblLook w:firstColumn="1" w:firstRow="1" w:lastColumn="0" w:lastRow="0" w:noHBand="0" w:noVBand="1" w:val="04A0"/>
      </w:tblPr>
      <w:tblGrid>
        <w:gridCol w:w="2340"/>
        <w:gridCol w:w="2340"/>
        <w:gridCol w:w="2340"/>
        <w:gridCol w:w="2340"/>
      </w:tblGrid>
      <w:tr>
        <w:tc>
          <w:tcPr>
            <w:tcW w:type="dxa" w:w="2340"/>
          </w:tcPr>
          <w:p>
            <w:pPr>
              <w:jc w:val="left"/>
            </w:pPr>
            <w:r>
              <w:rPr>
                <w:rFonts w:ascii="Calibri" w:hAnsi="Calibri"/>
                <w:b/>
                <w:sz w:val="20"/>
              </w:rPr>
              <w:t>Fee Type</w:t>
            </w:r>
          </w:p>
        </w:tc>
        <w:tc>
          <w:tcPr>
            <w:tcW w:type="dxa" w:w="2340"/>
          </w:tcPr>
          <w:p>
            <w:pPr>
              <w:jc w:val="left"/>
            </w:pPr>
            <w:r>
              <w:rPr>
                <w:rFonts w:ascii="Calibri" w:hAnsi="Calibri"/>
                <w:b/>
                <w:sz w:val="20"/>
              </w:rPr>
              <w:t>Rate</w:t>
            </w:r>
          </w:p>
        </w:tc>
        <w:tc>
          <w:tcPr>
            <w:tcW w:type="dxa" w:w="2340"/>
          </w:tcPr>
          <w:p>
            <w:pPr>
              <w:jc w:val="left"/>
            </w:pPr>
            <w:r>
              <w:rPr>
                <w:rFonts w:ascii="Calibri" w:hAnsi="Calibri"/>
                <w:b/>
                <w:sz w:val="20"/>
              </w:rPr>
              <w:t>Paid By</w:t>
            </w:r>
          </w:p>
        </w:tc>
        <w:tc>
          <w:tcPr>
            <w:tcW w:type="dxa" w:w="2340"/>
          </w:tcPr>
          <w:p>
            <w:pPr>
              <w:jc w:val="left"/>
            </w:pPr>
            <w:r>
              <w:rPr>
                <w:rFonts w:ascii="Calibri" w:hAnsi="Calibri"/>
                <w:b/>
                <w:sz w:val="20"/>
              </w:rPr>
              <w:t>Timing</w:t>
            </w:r>
          </w:p>
        </w:tc>
      </w:tr>
      <w:tr>
        <w:tc>
          <w:tcPr>
            <w:tcW w:type="dxa" w:w="2340"/>
          </w:tcPr>
          <w:p>
            <w:r>
              <w:rPr>
                <w:rFonts w:ascii="Calibri" w:hAnsi="Calibri"/>
                <w:sz w:val="20"/>
              </w:rPr>
              <w:t>Issuance / Structuring Fee</w:t>
            </w:r>
          </w:p>
        </w:tc>
        <w:tc>
          <w:tcPr>
            <w:tcW w:type="dxa" w:w="2340"/>
          </w:tcPr>
          <w:p>
            <w:r>
              <w:rPr>
                <w:rFonts w:ascii="Calibri" w:hAnsi="Calibri"/>
                <w:sz w:val="20"/>
              </w:rPr>
              <w:t>3–5%</w:t>
            </w:r>
          </w:p>
        </w:tc>
        <w:tc>
          <w:tcPr>
            <w:tcW w:type="dxa" w:w="2340"/>
          </w:tcPr>
          <w:p>
            <w:r>
              <w:rPr>
                <w:rFonts w:ascii="Calibri" w:hAnsi="Calibri"/>
                <w:sz w:val="20"/>
              </w:rPr>
              <w:t>Developer</w:t>
            </w:r>
          </w:p>
        </w:tc>
        <w:tc>
          <w:tcPr>
            <w:tcW w:type="dxa" w:w="2340"/>
          </w:tcPr>
          <w:p>
            <w:r>
              <w:rPr>
                <w:rFonts w:ascii="Calibri" w:hAnsi="Calibri"/>
                <w:sz w:val="20"/>
              </w:rPr>
              <w:t>One-time at close</w:t>
            </w:r>
          </w:p>
        </w:tc>
      </w:tr>
      <w:tr>
        <w:tc>
          <w:tcPr>
            <w:tcW w:type="dxa" w:w="2340"/>
          </w:tcPr>
          <w:p>
            <w:r>
              <w:rPr>
                <w:rFonts w:ascii="Calibri" w:hAnsi="Calibri"/>
                <w:sz w:val="20"/>
              </w:rPr>
              <w:t>Annual Servicing Fee</w:t>
            </w:r>
          </w:p>
        </w:tc>
        <w:tc>
          <w:tcPr>
            <w:tcW w:type="dxa" w:w="2340"/>
          </w:tcPr>
          <w:p>
            <w:r>
              <w:rPr>
                <w:rFonts w:ascii="Calibri" w:hAnsi="Calibri"/>
                <w:sz w:val="20"/>
              </w:rPr>
              <w:t>50–75 bps</w:t>
            </w:r>
          </w:p>
        </w:tc>
        <w:tc>
          <w:tcPr>
            <w:tcW w:type="dxa" w:w="2340"/>
          </w:tcPr>
          <w:p>
            <w:r>
              <w:rPr>
                <w:rFonts w:ascii="Calibri" w:hAnsi="Calibri"/>
                <w:sz w:val="20"/>
              </w:rPr>
              <w:t>Developer</w:t>
            </w:r>
          </w:p>
        </w:tc>
        <w:tc>
          <w:tcPr>
            <w:tcW w:type="dxa" w:w="2340"/>
          </w:tcPr>
          <w:p>
            <w:r>
              <w:rPr>
                <w:rFonts w:ascii="Calibri" w:hAnsi="Calibri"/>
                <w:sz w:val="20"/>
              </w:rPr>
              <w:t>Annual, recurring</w:t>
            </w:r>
          </w:p>
        </w:tc>
      </w:tr>
      <w:tr>
        <w:tc>
          <w:tcPr>
            <w:tcW w:type="dxa" w:w="2340"/>
          </w:tcPr>
          <w:p>
            <w:r>
              <w:rPr>
                <w:rFonts w:ascii="Calibri" w:hAnsi="Calibri"/>
                <w:sz w:val="20"/>
              </w:rPr>
              <w:t>Investor Transaction Fee</w:t>
            </w:r>
          </w:p>
        </w:tc>
        <w:tc>
          <w:tcPr>
            <w:tcW w:type="dxa" w:w="2340"/>
          </w:tcPr>
          <w:p>
            <w:r>
              <w:rPr>
                <w:rFonts w:ascii="Calibri" w:hAnsi="Calibri"/>
                <w:sz w:val="20"/>
              </w:rPr>
              <w:t>0.5–1%</w:t>
            </w:r>
          </w:p>
        </w:tc>
        <w:tc>
          <w:tcPr>
            <w:tcW w:type="dxa" w:w="2340"/>
          </w:tcPr>
          <w:p>
            <w:r>
              <w:rPr>
                <w:rFonts w:ascii="Calibri" w:hAnsi="Calibri"/>
                <w:sz w:val="20"/>
              </w:rPr>
              <w:t>Investor</w:t>
            </w:r>
          </w:p>
        </w:tc>
        <w:tc>
          <w:tcPr>
            <w:tcW w:type="dxa" w:w="2340"/>
          </w:tcPr>
          <w:p>
            <w:r>
              <w:rPr>
                <w:rFonts w:ascii="Calibri" w:hAnsi="Calibri"/>
                <w:sz w:val="20"/>
              </w:rPr>
              <w:t>Per investment</w:t>
            </w:r>
          </w:p>
        </w:tc>
      </w:tr>
    </w:tbl>
    <w:p/>
    <w:p>
      <w:pPr>
        <w:pStyle w:val="Heading2"/>
      </w:pPr>
      <w:r>
        <w:t>Revenue Illustration: Single $3M Project</w:t>
      </w:r>
    </w:p>
    <w:tbl>
      <w:tblPr>
        <w:tblStyle w:val="LightGrid-Accent6"/>
        <w:tblW w:type="auto" w:w="0"/>
        <w:jc w:val="center"/>
        <w:tblLook w:firstColumn="1" w:firstRow="1" w:lastColumn="0" w:lastRow="0" w:noHBand="0" w:noVBand="1" w:val="04A0"/>
      </w:tblPr>
      <w:tblGrid>
        <w:gridCol w:w="4680"/>
        <w:gridCol w:w="4680"/>
      </w:tblGrid>
      <w:tr>
        <w:tc>
          <w:tcPr>
            <w:tcW w:type="dxa" w:w="4680"/>
          </w:tcPr>
          <w:p>
            <w:pPr>
              <w:jc w:val="left"/>
            </w:pPr>
            <w:r>
              <w:rPr>
                <w:rFonts w:ascii="Calibri" w:hAnsi="Calibri"/>
                <w:b/>
                <w:sz w:val="20"/>
              </w:rPr>
              <w:t>Revenue Line</w:t>
            </w:r>
          </w:p>
        </w:tc>
        <w:tc>
          <w:tcPr>
            <w:tcW w:type="dxa" w:w="4680"/>
          </w:tcPr>
          <w:p>
            <w:pPr>
              <w:jc w:val="left"/>
            </w:pPr>
            <w:r>
              <w:rPr>
                <w:rFonts w:ascii="Calibri" w:hAnsi="Calibri"/>
                <w:b/>
                <w:sz w:val="20"/>
              </w:rPr>
              <w:t>Amount</w:t>
            </w:r>
          </w:p>
        </w:tc>
      </w:tr>
      <w:tr>
        <w:tc>
          <w:tcPr>
            <w:tcW w:type="dxa" w:w="4680"/>
          </w:tcPr>
          <w:p>
            <w:r>
              <w:rPr>
                <w:rFonts w:ascii="Calibri" w:hAnsi="Calibri"/>
                <w:sz w:val="20"/>
              </w:rPr>
              <w:t>Issuance Fee (4%)</w:t>
            </w:r>
          </w:p>
        </w:tc>
        <w:tc>
          <w:tcPr>
            <w:tcW w:type="dxa" w:w="4680"/>
          </w:tcPr>
          <w:p>
            <w:r>
              <w:rPr>
                <w:rFonts w:ascii="Calibri" w:hAnsi="Calibri"/>
                <w:sz w:val="20"/>
              </w:rPr>
              <w:t>$120,000 (one-time)</w:t>
            </w:r>
          </w:p>
        </w:tc>
      </w:tr>
      <w:tr>
        <w:tc>
          <w:tcPr>
            <w:tcW w:type="dxa" w:w="4680"/>
          </w:tcPr>
          <w:p>
            <w:r>
              <w:rPr>
                <w:rFonts w:ascii="Calibri" w:hAnsi="Calibri"/>
                <w:sz w:val="20"/>
              </w:rPr>
              <w:t>Annual Servicing (60 bps)</w:t>
            </w:r>
          </w:p>
        </w:tc>
        <w:tc>
          <w:tcPr>
            <w:tcW w:type="dxa" w:w="4680"/>
          </w:tcPr>
          <w:p>
            <w:r>
              <w:rPr>
                <w:rFonts w:ascii="Calibri" w:hAnsi="Calibri"/>
                <w:sz w:val="20"/>
              </w:rPr>
              <w:t>$18,000 / year (recurring)</w:t>
            </w:r>
          </w:p>
        </w:tc>
      </w:tr>
      <w:tr>
        <w:tc>
          <w:tcPr>
            <w:tcW w:type="dxa" w:w="4680"/>
          </w:tcPr>
          <w:p>
            <w:r>
              <w:rPr>
                <w:rFonts w:ascii="Calibri" w:hAnsi="Calibri"/>
                <w:sz w:val="20"/>
              </w:rPr>
              <w:t>Investor Tx Fees (~0.75%)</w:t>
            </w:r>
          </w:p>
        </w:tc>
        <w:tc>
          <w:tcPr>
            <w:tcW w:type="dxa" w:w="4680"/>
          </w:tcPr>
          <w:p>
            <w:r>
              <w:rPr>
                <w:rFonts w:ascii="Calibri" w:hAnsi="Calibri"/>
                <w:sz w:val="20"/>
              </w:rPr>
              <w:t>$22,500 (one-time)</w:t>
            </w:r>
          </w:p>
        </w:tc>
      </w:tr>
      <w:tr>
        <w:tc>
          <w:tcPr>
            <w:tcW w:type="dxa" w:w="4680"/>
          </w:tcPr>
          <w:p>
            <w:r>
              <w:rPr>
                <w:rFonts w:ascii="Calibri" w:hAnsi="Calibri"/>
                <w:sz w:val="20"/>
              </w:rPr>
              <w:t>Year 1 Total Revenue</w:t>
            </w:r>
          </w:p>
        </w:tc>
        <w:tc>
          <w:tcPr>
            <w:tcW w:type="dxa" w:w="4680"/>
          </w:tcPr>
          <w:p>
            <w:r>
              <w:rPr>
                <w:rFonts w:ascii="Calibri" w:hAnsi="Calibri"/>
                <w:sz w:val="20"/>
              </w:rPr>
              <w:t>~$160,500</w:t>
            </w:r>
          </w:p>
        </w:tc>
      </w:tr>
      <w:tr>
        <w:tc>
          <w:tcPr>
            <w:tcW w:type="dxa" w:w="4680"/>
          </w:tcPr>
          <w:p>
            <w:r>
              <w:rPr>
                <w:rFonts w:ascii="Calibri" w:hAnsi="Calibri"/>
                <w:sz w:val="20"/>
              </w:rPr>
              <w:t>Year 2+ Recurring</w:t>
            </w:r>
          </w:p>
        </w:tc>
        <w:tc>
          <w:tcPr>
            <w:tcW w:type="dxa" w:w="4680"/>
          </w:tcPr>
          <w:p>
            <w:r>
              <w:rPr>
                <w:rFonts w:ascii="Calibri" w:hAnsi="Calibri"/>
                <w:sz w:val="20"/>
              </w:rPr>
              <w:t>~$18,000 / year per project</w:t>
            </w:r>
          </w:p>
        </w:tc>
      </w:tr>
    </w:tbl>
    <w:p/>
    <w:p>
      <w:pPr>
        <w:pStyle w:val="Heading2"/>
      </w:pPr>
      <w:r>
        <w:t>Revenue Scale Model</w:t>
      </w:r>
    </w:p>
    <w:tbl>
      <w:tblPr>
        <w:tblStyle w:val="LightGrid-Accent6"/>
        <w:tblW w:type="auto" w:w="0"/>
        <w:jc w:val="center"/>
        <w:tblLook w:firstColumn="1" w:firstRow="1" w:lastColumn="0" w:lastRow="0" w:noHBand="0" w:noVBand="1" w:val="04A0"/>
      </w:tblPr>
      <w:tblGrid>
        <w:gridCol w:w="3120"/>
        <w:gridCol w:w="3120"/>
        <w:gridCol w:w="3120"/>
      </w:tblGrid>
      <w:tr>
        <w:tc>
          <w:tcPr>
            <w:tcW w:type="dxa" w:w="3120"/>
          </w:tcPr>
          <w:p>
            <w:pPr>
              <w:jc w:val="left"/>
            </w:pPr>
            <w:r>
              <w:rPr>
                <w:rFonts w:ascii="Calibri" w:hAnsi="Calibri"/>
                <w:b/>
                <w:sz w:val="20"/>
              </w:rPr>
              <w:t>Scenario</w:t>
            </w:r>
          </w:p>
        </w:tc>
        <w:tc>
          <w:tcPr>
            <w:tcW w:type="dxa" w:w="3120"/>
          </w:tcPr>
          <w:p>
            <w:pPr>
              <w:jc w:val="left"/>
            </w:pPr>
            <w:r>
              <w:rPr>
                <w:rFonts w:ascii="Calibri" w:hAnsi="Calibri"/>
                <w:b/>
                <w:sz w:val="20"/>
              </w:rPr>
              <w:t>Year 1 Revenue</w:t>
            </w:r>
          </w:p>
        </w:tc>
        <w:tc>
          <w:tcPr>
            <w:tcW w:type="dxa" w:w="3120"/>
          </w:tcPr>
          <w:p>
            <w:pPr>
              <w:jc w:val="left"/>
            </w:pPr>
            <w:r>
              <w:rPr>
                <w:rFonts w:ascii="Calibri" w:hAnsi="Calibri"/>
                <w:b/>
                <w:sz w:val="20"/>
              </w:rPr>
              <w:t>Annual Recurring</w:t>
            </w:r>
          </w:p>
        </w:tc>
      </w:tr>
      <w:tr>
        <w:tc>
          <w:tcPr>
            <w:tcW w:type="dxa" w:w="3120"/>
          </w:tcPr>
          <w:p>
            <w:r>
              <w:rPr>
                <w:rFonts w:ascii="Calibri" w:hAnsi="Calibri"/>
                <w:sz w:val="20"/>
              </w:rPr>
              <w:t>3 projects @ $3M avg</w:t>
            </w:r>
          </w:p>
        </w:tc>
        <w:tc>
          <w:tcPr>
            <w:tcW w:type="dxa" w:w="3120"/>
          </w:tcPr>
          <w:p>
            <w:r>
              <w:rPr>
                <w:rFonts w:ascii="Calibri" w:hAnsi="Calibri"/>
                <w:sz w:val="20"/>
              </w:rPr>
              <w:t>~$480K</w:t>
            </w:r>
          </w:p>
        </w:tc>
        <w:tc>
          <w:tcPr>
            <w:tcW w:type="dxa" w:w="3120"/>
          </w:tcPr>
          <w:p>
            <w:r>
              <w:rPr>
                <w:rFonts w:ascii="Calibri" w:hAnsi="Calibri"/>
                <w:sz w:val="20"/>
              </w:rPr>
              <w:t>~$54K</w:t>
            </w:r>
          </w:p>
        </w:tc>
      </w:tr>
      <w:tr>
        <w:tc>
          <w:tcPr>
            <w:tcW w:type="dxa" w:w="3120"/>
          </w:tcPr>
          <w:p>
            <w:r>
              <w:rPr>
                <w:rFonts w:ascii="Calibri" w:hAnsi="Calibri"/>
                <w:sz w:val="20"/>
              </w:rPr>
              <w:t>5 projects @ $3M avg</w:t>
            </w:r>
          </w:p>
        </w:tc>
        <w:tc>
          <w:tcPr>
            <w:tcW w:type="dxa" w:w="3120"/>
          </w:tcPr>
          <w:p>
            <w:r>
              <w:rPr>
                <w:rFonts w:ascii="Calibri" w:hAnsi="Calibri"/>
                <w:sz w:val="20"/>
              </w:rPr>
              <w:t>~$800K</w:t>
            </w:r>
          </w:p>
        </w:tc>
        <w:tc>
          <w:tcPr>
            <w:tcW w:type="dxa" w:w="3120"/>
          </w:tcPr>
          <w:p>
            <w:r>
              <w:rPr>
                <w:rFonts w:ascii="Calibri" w:hAnsi="Calibri"/>
                <w:sz w:val="20"/>
              </w:rPr>
              <w:t>~$90K</w:t>
            </w:r>
          </w:p>
        </w:tc>
      </w:tr>
      <w:tr>
        <w:tc>
          <w:tcPr>
            <w:tcW w:type="dxa" w:w="3120"/>
          </w:tcPr>
          <w:p>
            <w:r>
              <w:rPr>
                <w:rFonts w:ascii="Calibri" w:hAnsi="Calibri"/>
                <w:sz w:val="20"/>
              </w:rPr>
              <w:t>10 projects @ $4M avg</w:t>
            </w:r>
          </w:p>
        </w:tc>
        <w:tc>
          <w:tcPr>
            <w:tcW w:type="dxa" w:w="3120"/>
          </w:tcPr>
          <w:p>
            <w:r>
              <w:rPr>
                <w:rFonts w:ascii="Calibri" w:hAnsi="Calibri"/>
                <w:sz w:val="20"/>
              </w:rPr>
              <w:t>~$1.9M</w:t>
            </w:r>
          </w:p>
        </w:tc>
        <w:tc>
          <w:tcPr>
            <w:tcW w:type="dxa" w:w="3120"/>
          </w:tcPr>
          <w:p>
            <w:r>
              <w:rPr>
                <w:rFonts w:ascii="Calibri" w:hAnsi="Calibri"/>
                <w:sz w:val="20"/>
              </w:rPr>
              <w:t>~$240K</w:t>
            </w:r>
          </w:p>
        </w:tc>
      </w:tr>
    </w:tbl>
    <w:p/>
    <w:p>
      <w:pPr>
        <w:pStyle w:val="Heading2"/>
      </w:pPr>
      <w:r>
        <w:t>Market Sizing</w:t>
      </w:r>
    </w:p>
    <w:p>
      <w:pPr>
        <w:pStyle w:val="Heading3"/>
      </w:pPr>
      <w:r>
        <w:t>Top-Down</w:t>
      </w:r>
    </w:p>
    <w:p>
      <w:r>
        <w:t>The U.S. distributed and community solar market represents approximately $15–20 billion in annual project deployment. The sub-$10M segment underserved by traditional project finance represents an estimated 30–40% of that market by project count — approximately $4–6 billion annually in projects that lack efficient capital formation channels.</w:t>
      </w:r>
    </w:p>
    <w:p>
      <w:r>
        <w:t>At 1% platform penetration of the addressable market, EcoXchange would process $40–60M in annual project volume, generating $2–3M in revenue at blended take rates. At 5% penetration: $10–15M. At 10%: $20–30M. Expansion beyond solar into wind, storage, and other renewables — combined with secondary trading revenue — pushes the addressable market to $50–100B+ globally.</w:t>
      </w:r>
    </w:p>
    <w:p>
      <w:pPr>
        <w:pStyle w:val="Heading3"/>
      </w:pPr>
      <w:r>
        <w:t>Bottom-Up</w:t>
      </w:r>
    </w:p>
    <w:tbl>
      <w:tblPr>
        <w:tblStyle w:val="LightGrid-Accent6"/>
        <w:tblW w:type="auto" w:w="0"/>
        <w:jc w:val="center"/>
        <w:tblLook w:firstColumn="1" w:firstRow="1" w:lastColumn="0" w:lastRow="0" w:noHBand="0" w:noVBand="1" w:val="04A0"/>
      </w:tblPr>
      <w:tblGrid>
        <w:gridCol w:w="2340"/>
        <w:gridCol w:w="2340"/>
        <w:gridCol w:w="2340"/>
        <w:gridCol w:w="2340"/>
      </w:tblGrid>
      <w:tr>
        <w:tc>
          <w:tcPr>
            <w:tcW w:type="dxa" w:w="2340"/>
          </w:tcPr>
          <w:p>
            <w:pPr>
              <w:jc w:val="left"/>
            </w:pPr>
            <w:r>
              <w:rPr>
                <w:rFonts w:ascii="Calibri" w:hAnsi="Calibri"/>
                <w:b/>
                <w:sz w:val="20"/>
              </w:rPr>
              <w:t>Timeframe</w:t>
            </w:r>
          </w:p>
        </w:tc>
        <w:tc>
          <w:tcPr>
            <w:tcW w:type="dxa" w:w="2340"/>
          </w:tcPr>
          <w:p>
            <w:pPr>
              <w:jc w:val="left"/>
            </w:pPr>
            <w:r>
              <w:rPr>
                <w:rFonts w:ascii="Calibri" w:hAnsi="Calibri"/>
                <w:b/>
                <w:sz w:val="20"/>
              </w:rPr>
              <w:t>Projects</w:t>
            </w:r>
          </w:p>
        </w:tc>
        <w:tc>
          <w:tcPr>
            <w:tcW w:type="dxa" w:w="2340"/>
          </w:tcPr>
          <w:p>
            <w:pPr>
              <w:jc w:val="left"/>
            </w:pPr>
            <w:r>
              <w:rPr>
                <w:rFonts w:ascii="Calibri" w:hAnsi="Calibri"/>
                <w:b/>
                <w:sz w:val="20"/>
              </w:rPr>
              <w:t>Estimated Revenue</w:t>
            </w:r>
          </w:p>
        </w:tc>
        <w:tc>
          <w:tcPr>
            <w:tcW w:type="dxa" w:w="2340"/>
          </w:tcPr>
          <w:p>
            <w:pPr>
              <w:jc w:val="left"/>
            </w:pPr>
            <w:r>
              <w:rPr>
                <w:rFonts w:ascii="Calibri" w:hAnsi="Calibri"/>
                <w:b/>
                <w:sz w:val="20"/>
              </w:rPr>
              <w:t>Notes</w:t>
            </w:r>
          </w:p>
        </w:tc>
      </w:tr>
      <w:tr>
        <w:tc>
          <w:tcPr>
            <w:tcW w:type="dxa" w:w="2340"/>
          </w:tcPr>
          <w:p>
            <w:r>
              <w:rPr>
                <w:rFonts w:ascii="Calibri" w:hAnsi="Calibri"/>
                <w:sz w:val="20"/>
              </w:rPr>
              <w:t>Year 1</w:t>
            </w:r>
          </w:p>
        </w:tc>
        <w:tc>
          <w:tcPr>
            <w:tcW w:type="dxa" w:w="2340"/>
          </w:tcPr>
          <w:p>
            <w:r>
              <w:rPr>
                <w:rFonts w:ascii="Calibri" w:hAnsi="Calibri"/>
                <w:sz w:val="20"/>
              </w:rPr>
              <w:t>2–3 pilots @ $3M avg</w:t>
            </w:r>
          </w:p>
        </w:tc>
        <w:tc>
          <w:tcPr>
            <w:tcW w:type="dxa" w:w="2340"/>
          </w:tcPr>
          <w:p>
            <w:r>
              <w:rPr>
                <w:rFonts w:ascii="Calibri" w:hAnsi="Calibri"/>
                <w:sz w:val="20"/>
              </w:rPr>
              <w:t>$320K–$480K</w:t>
            </w:r>
          </w:p>
        </w:tc>
        <w:tc>
          <w:tcPr>
            <w:tcW w:type="dxa" w:w="2340"/>
          </w:tcPr>
          <w:p>
            <w:r>
              <w:rPr>
                <w:rFonts w:ascii="Calibri" w:hAnsi="Calibri"/>
                <w:sz w:val="20"/>
              </w:rPr>
              <w:t>Primarily one-time issuance fees</w:t>
            </w:r>
          </w:p>
        </w:tc>
      </w:tr>
      <w:tr>
        <w:tc>
          <w:tcPr>
            <w:tcW w:type="dxa" w:w="2340"/>
          </w:tcPr>
          <w:p>
            <w:r>
              <w:rPr>
                <w:rFonts w:ascii="Calibri" w:hAnsi="Calibri"/>
                <w:sz w:val="20"/>
              </w:rPr>
              <w:t>Year 2</w:t>
            </w:r>
          </w:p>
        </w:tc>
        <w:tc>
          <w:tcPr>
            <w:tcW w:type="dxa" w:w="2340"/>
          </w:tcPr>
          <w:p>
            <w:r>
              <w:rPr>
                <w:rFonts w:ascii="Calibri" w:hAnsi="Calibri"/>
                <w:sz w:val="20"/>
              </w:rPr>
              <w:t>5–8 projects</w:t>
            </w:r>
          </w:p>
        </w:tc>
        <w:tc>
          <w:tcPr>
            <w:tcW w:type="dxa" w:w="2340"/>
          </w:tcPr>
          <w:p>
            <w:r>
              <w:rPr>
                <w:rFonts w:ascii="Calibri" w:hAnsi="Calibri"/>
                <w:sz w:val="20"/>
              </w:rPr>
              <w:t>$800K–$1.5M</w:t>
            </w:r>
          </w:p>
        </w:tc>
        <w:tc>
          <w:tcPr>
            <w:tcW w:type="dxa" w:w="2340"/>
          </w:tcPr>
          <w:p>
            <w:r>
              <w:rPr>
                <w:rFonts w:ascii="Calibri" w:hAnsi="Calibri"/>
                <w:sz w:val="20"/>
              </w:rPr>
              <w:t>Growing recurring servicing base</w:t>
            </w:r>
          </w:p>
        </w:tc>
      </w:tr>
      <w:tr>
        <w:tc>
          <w:tcPr>
            <w:tcW w:type="dxa" w:w="2340"/>
          </w:tcPr>
          <w:p>
            <w:r>
              <w:rPr>
                <w:rFonts w:ascii="Calibri" w:hAnsi="Calibri"/>
                <w:sz w:val="20"/>
              </w:rPr>
              <w:t>Year 3</w:t>
            </w:r>
          </w:p>
        </w:tc>
        <w:tc>
          <w:tcPr>
            <w:tcW w:type="dxa" w:w="2340"/>
          </w:tcPr>
          <w:p>
            <w:r>
              <w:rPr>
                <w:rFonts w:ascii="Calibri" w:hAnsi="Calibri"/>
                <w:sz w:val="20"/>
              </w:rPr>
              <w:t>10–15 projects</w:t>
            </w:r>
          </w:p>
        </w:tc>
        <w:tc>
          <w:tcPr>
            <w:tcW w:type="dxa" w:w="2340"/>
          </w:tcPr>
          <w:p>
            <w:r>
              <w:rPr>
                <w:rFonts w:ascii="Calibri" w:hAnsi="Calibri"/>
                <w:sz w:val="20"/>
              </w:rPr>
              <w:t>$2M–$4M</w:t>
            </w:r>
          </w:p>
        </w:tc>
        <w:tc>
          <w:tcPr>
            <w:tcW w:type="dxa" w:w="2340"/>
          </w:tcPr>
          <w:p>
            <w:r>
              <w:rPr>
                <w:rFonts w:ascii="Calibri" w:hAnsi="Calibri"/>
                <w:sz w:val="20"/>
              </w:rPr>
              <w:t>Recurring revenue approaching crossover with one-time fees</w:t>
            </w:r>
          </w:p>
        </w:tc>
      </w:tr>
      <w:tr>
        <w:tc>
          <w:tcPr>
            <w:tcW w:type="dxa" w:w="2340"/>
          </w:tcPr>
          <w:p>
            <w:r>
              <w:rPr>
                <w:rFonts w:ascii="Calibri" w:hAnsi="Calibri"/>
                <w:sz w:val="20"/>
              </w:rPr>
              <w:t>Year 5+</w:t>
            </w:r>
          </w:p>
        </w:tc>
        <w:tc>
          <w:tcPr>
            <w:tcW w:type="dxa" w:w="2340"/>
          </w:tcPr>
          <w:p>
            <w:r>
              <w:rPr>
                <w:rFonts w:ascii="Calibri" w:hAnsi="Calibri"/>
                <w:sz w:val="20"/>
              </w:rPr>
              <w:t>25+ active projects</w:t>
            </w:r>
          </w:p>
        </w:tc>
        <w:tc>
          <w:tcPr>
            <w:tcW w:type="dxa" w:w="2340"/>
          </w:tcPr>
          <w:p>
            <w:r>
              <w:rPr>
                <w:rFonts w:ascii="Calibri" w:hAnsi="Calibri"/>
                <w:sz w:val="20"/>
              </w:rPr>
              <w:t>$5M–$10M+</w:t>
            </w:r>
          </w:p>
        </w:tc>
        <w:tc>
          <w:tcPr>
            <w:tcW w:type="dxa" w:w="2340"/>
          </w:tcPr>
          <w:p>
            <w:r>
              <w:rPr>
                <w:rFonts w:ascii="Calibri" w:hAnsi="Calibri"/>
                <w:sz w:val="20"/>
              </w:rPr>
              <w:t>Secondary trading revenue begins; compounding recurring base</w:t>
            </w:r>
          </w:p>
        </w:tc>
      </w:tr>
    </w:tbl>
    <w:p/>
    <w:p>
      <w:r>
        <w:t>The key inflection point occurs when recurring revenue (servicing fees + secondary trading) exceeds one-time issuance fees, estimated around 20–25 active projects on platform. To reach $100M+ revenue (venture-scale outcome), EcoXchange would need approximately $2B+ in cumulative platform volume with active secondary trading — ambitious but achievable over a 7–10 year horizon.</w:t>
      </w:r>
    </w:p>
    <w:p>
      <w:pPr>
        <w:pStyle w:val="Heading2"/>
      </w:pPr>
      <w:r>
        <w:t>Future Revenue Streams (Phase 2+)</w:t>
      </w:r>
    </w:p>
    <w:p>
      <w:pPr>
        <w:pStyle w:val="ListBullet"/>
      </w:pPr>
      <w:r>
        <w:t>Secondary trading fees (1–2% per side) once ATS is integrated.</w:t>
      </w:r>
    </w:p>
    <w:p>
      <w:pPr>
        <w:pStyle w:val="ListBullet"/>
      </w:pPr>
      <w:r>
        <w:t>Yield distribution processing fee (cut of each distribution cycle).</w:t>
      </w:r>
    </w:p>
    <w:p>
      <w:pPr>
        <w:pStyle w:val="ListBullet"/>
      </w:pPr>
      <w:r>
        <w:t>Technology licensing to other issuers or platforms.</w:t>
      </w:r>
    </w:p>
    <w:p>
      <w:pPr>
        <w:pStyle w:val="ListBullet"/>
      </w:pPr>
      <w:r>
        <w:t>Reg CF offering facilitation fees.</w:t>
      </w:r>
    </w:p>
    <w:p>
      <w:pPr>
        <w:pStyle w:val="Heading2"/>
      </w:pPr>
      <w:r>
        <w:t>Strategic Rationale</w:t>
      </w:r>
    </w:p>
    <w:p>
      <w:r>
        <w:t>The developer-pays model is strategically correct for Phase 1. The renewable energy sector has a surplus of shovel-ready projects needing capital and a deficit of accessible investment channels. Developers are the "seller" in this market — and sellers pay to access buyers. Minimizing investor fees reduces friction during the critical period of building the demand side of the platform.</w:t>
      </w:r>
    </w:p>
    <w:p>
      <w:r>
        <w:br w:type="page"/>
      </w:r>
    </w:p>
    <w:p>
      <w:pPr>
        <w:pStyle w:val="Heading1"/>
      </w:pPr>
      <w:r>
        <w:t>6. Target Customers</w:t>
      </w:r>
    </w:p>
    <w:p>
      <w:pPr>
        <w:pStyle w:val="Heading2"/>
      </w:pPr>
      <w:r>
        <w:t>6A. Investor Side (Demand)</w:t>
      </w:r>
    </w:p>
    <w:p>
      <w:pPr>
        <w:pStyle w:val="Heading3"/>
      </w:pPr>
      <w:r>
        <w:t>Phase 1: Primary ICP</w:t>
      </w:r>
    </w:p>
    <w:p>
      <w:r>
        <w:t>Accredited individuals and small family offices who already have a climate or ESG thesis but are underallocated to real asset yield. They are currently in public equities, green bonds, or ESG ETFs and want direct, income-generating exposure to renewable energy infrastructure.</w:t>
      </w:r>
    </w:p>
    <w:tbl>
      <w:tblPr>
        <w:tblStyle w:val="LightGrid-Accent6"/>
        <w:tblW w:type="auto" w:w="0"/>
        <w:jc w:val="center"/>
        <w:tblLook w:firstColumn="1" w:firstRow="1" w:lastColumn="0" w:lastRow="0" w:noHBand="0" w:noVBand="1" w:val="04A0"/>
      </w:tblPr>
      <w:tblGrid>
        <w:gridCol w:w="4680"/>
        <w:gridCol w:w="4680"/>
      </w:tblGrid>
      <w:tr>
        <w:tc>
          <w:tcPr>
            <w:tcW w:type="dxa" w:w="4680"/>
          </w:tcPr>
          <w:p>
            <w:pPr>
              <w:jc w:val="left"/>
            </w:pPr>
            <w:r>
              <w:rPr>
                <w:rFonts w:ascii="Calibri" w:hAnsi="Calibri"/>
                <w:b/>
                <w:sz w:val="20"/>
              </w:rPr>
              <w:t>Dimension</w:t>
            </w:r>
          </w:p>
        </w:tc>
        <w:tc>
          <w:tcPr>
            <w:tcW w:type="dxa" w:w="4680"/>
          </w:tcPr>
          <w:p>
            <w:pPr>
              <w:jc w:val="left"/>
            </w:pPr>
            <w:r>
              <w:rPr>
                <w:rFonts w:ascii="Calibri" w:hAnsi="Calibri"/>
                <w:b/>
                <w:sz w:val="20"/>
              </w:rPr>
              <w:t>Detail</w:t>
            </w:r>
          </w:p>
        </w:tc>
      </w:tr>
      <w:tr>
        <w:tc>
          <w:tcPr>
            <w:tcW w:type="dxa" w:w="4680"/>
          </w:tcPr>
          <w:p>
            <w:r>
              <w:rPr>
                <w:rFonts w:ascii="Calibri" w:hAnsi="Calibri"/>
                <w:sz w:val="20"/>
              </w:rPr>
              <w:t>Investor Type</w:t>
            </w:r>
          </w:p>
        </w:tc>
        <w:tc>
          <w:tcPr>
            <w:tcW w:type="dxa" w:w="4680"/>
          </w:tcPr>
          <w:p>
            <w:r>
              <w:rPr>
                <w:rFonts w:ascii="Calibri" w:hAnsi="Calibri"/>
                <w:sz w:val="20"/>
              </w:rPr>
              <w:t>Accredited individuals, small family offices</w:t>
            </w:r>
          </w:p>
        </w:tc>
      </w:tr>
      <w:tr>
        <w:tc>
          <w:tcPr>
            <w:tcW w:type="dxa" w:w="4680"/>
          </w:tcPr>
          <w:p>
            <w:r>
              <w:rPr>
                <w:rFonts w:ascii="Calibri" w:hAnsi="Calibri"/>
                <w:sz w:val="20"/>
              </w:rPr>
              <w:t>Motivation</w:t>
            </w:r>
          </w:p>
        </w:tc>
        <w:tc>
          <w:tcPr>
            <w:tcW w:type="dxa" w:w="4680"/>
          </w:tcPr>
          <w:p>
            <w:r>
              <w:rPr>
                <w:rFonts w:ascii="Calibri" w:hAnsi="Calibri"/>
                <w:sz w:val="20"/>
              </w:rPr>
              <w:t>Impact + yield combined (not one or the other)</w:t>
            </w:r>
          </w:p>
        </w:tc>
      </w:tr>
      <w:tr>
        <w:tc>
          <w:tcPr>
            <w:tcW w:type="dxa" w:w="4680"/>
          </w:tcPr>
          <w:p>
            <w:r>
              <w:rPr>
                <w:rFonts w:ascii="Calibri" w:hAnsi="Calibri"/>
                <w:sz w:val="20"/>
              </w:rPr>
              <w:t>Current Allocation</w:t>
            </w:r>
          </w:p>
        </w:tc>
        <w:tc>
          <w:tcPr>
            <w:tcW w:type="dxa" w:w="4680"/>
          </w:tcPr>
          <w:p>
            <w:r>
              <w:rPr>
                <w:rFonts w:ascii="Calibri" w:hAnsi="Calibri"/>
                <w:sz w:val="20"/>
              </w:rPr>
              <w:t>Public ESG equities, green bonds, ESG ETFs</w:t>
            </w:r>
          </w:p>
        </w:tc>
      </w:tr>
      <w:tr>
        <w:tc>
          <w:tcPr>
            <w:tcW w:type="dxa" w:w="4680"/>
          </w:tcPr>
          <w:p>
            <w:r>
              <w:rPr>
                <w:rFonts w:ascii="Calibri" w:hAnsi="Calibri"/>
                <w:sz w:val="20"/>
              </w:rPr>
              <w:t>What They Lack</w:t>
            </w:r>
          </w:p>
        </w:tc>
        <w:tc>
          <w:tcPr>
            <w:tcW w:type="dxa" w:w="4680"/>
          </w:tcPr>
          <w:p>
            <w:r>
              <w:rPr>
                <w:rFonts w:ascii="Calibri" w:hAnsi="Calibri"/>
                <w:sz w:val="20"/>
              </w:rPr>
              <w:t>Direct access to real asset yield from energy infrastructure</w:t>
            </w:r>
          </w:p>
        </w:tc>
      </w:tr>
      <w:tr>
        <w:tc>
          <w:tcPr>
            <w:tcW w:type="dxa" w:w="4680"/>
          </w:tcPr>
          <w:p>
            <w:r>
              <w:rPr>
                <w:rFonts w:ascii="Calibri" w:hAnsi="Calibri"/>
                <w:sz w:val="20"/>
              </w:rPr>
              <w:t>Check Size</w:t>
            </w:r>
          </w:p>
        </w:tc>
        <w:tc>
          <w:tcPr>
            <w:tcW w:type="dxa" w:w="4680"/>
          </w:tcPr>
          <w:p>
            <w:r>
              <w:rPr>
                <w:rFonts w:ascii="Calibri" w:hAnsi="Calibri"/>
                <w:sz w:val="20"/>
              </w:rPr>
              <w:t>$25K–$100K per offering</w:t>
            </w:r>
          </w:p>
        </w:tc>
      </w:tr>
      <w:tr>
        <w:tc>
          <w:tcPr>
            <w:tcW w:type="dxa" w:w="4680"/>
          </w:tcPr>
          <w:p>
            <w:r>
              <w:rPr>
                <w:rFonts w:ascii="Calibri" w:hAnsi="Calibri"/>
                <w:sz w:val="20"/>
              </w:rPr>
              <w:t>Volume Needed</w:t>
            </w:r>
          </w:p>
        </w:tc>
        <w:tc>
          <w:tcPr>
            <w:tcW w:type="dxa" w:w="4680"/>
          </w:tcPr>
          <w:p>
            <w:r>
              <w:rPr>
                <w:rFonts w:ascii="Calibri" w:hAnsi="Calibri"/>
                <w:sz w:val="20"/>
              </w:rPr>
              <w:t>15–30 investors per project for $1M–$5M raises</w:t>
            </w:r>
          </w:p>
        </w:tc>
      </w:tr>
    </w:tbl>
    <w:p/>
    <w:p>
      <w:pPr>
        <w:pStyle w:val="Heading3"/>
      </w:pPr>
      <w:r>
        <w:t>Investor Acquisition Strategy</w:t>
      </w:r>
    </w:p>
    <w:p>
      <w:r>
        <w:t>EcoXchange is starting without an existing investor network. The acquisition strategy is sequenced to build credibility before asking for capital:</w:t>
      </w:r>
    </w:p>
    <w:p>
      <w:r>
        <w:rPr>
          <w:b/>
        </w:rPr>
        <w:t xml:space="preserve">Step 1 — Advisory relationships: </w:t>
      </w:r>
      <w:r>
        <w:t>Activate 1–2 advisors from the impact investing, renewable energy finance, or securities space who can make warm introductions.</w:t>
      </w:r>
    </w:p>
    <w:p>
      <w:r>
        <w:rPr>
          <w:b/>
        </w:rPr>
        <w:t xml:space="preserve">Step 2 — Anchor investor: </w:t>
      </w:r>
      <w:r>
        <w:t>Secure one credible family office or HNWI as an anchor ($250K–$500K). Their participation validates the deal and recruits others.</w:t>
      </w:r>
    </w:p>
    <w:p>
      <w:r>
        <w:rPr>
          <w:b/>
        </w:rPr>
        <w:t xml:space="preserve">Step 3 — RIA/advisor channel: </w:t>
      </w:r>
      <w:r>
        <w:t>Build relationships with impact-focused registered investment advisors who have clients seeking climate-aligned yield products.</w:t>
      </w:r>
    </w:p>
    <w:p>
      <w:r>
        <w:rPr>
          <w:b/>
        </w:rPr>
        <w:t xml:space="preserve">Step 4 — Content + visibility: </w:t>
      </w:r>
      <w:r>
        <w:t>LinkedIn thought leadership (2–3 posts/week), event attendance, and community participation in climate finance circles.</w:t>
      </w:r>
    </w:p>
    <w:p>
      <w:pPr>
        <w:pStyle w:val="Heading3"/>
      </w:pPr>
      <w:r>
        <w:t>Phase 2+ Expansion</w:t>
      </w:r>
    </w:p>
    <w:p>
      <w:pPr>
        <w:pStyle w:val="ListBullet"/>
      </w:pPr>
      <w:r>
        <w:t>Non-accredited investors via Reg CF offerings.</w:t>
      </w:r>
    </w:p>
    <w:p>
      <w:pPr>
        <w:pStyle w:val="ListBullet"/>
      </w:pPr>
      <w:r>
        <w:t>Retail investors seeking climate-aligned yield.</w:t>
      </w:r>
    </w:p>
    <w:p>
      <w:pPr>
        <w:pStyle w:val="ListBullet"/>
      </w:pPr>
      <w:r>
        <w:t>Institutional allocators and climate funds.</w:t>
      </w:r>
    </w:p>
    <w:p>
      <w:pPr>
        <w:pStyle w:val="Heading2"/>
      </w:pPr>
      <w:r>
        <w:t>6B. Project Developer Side (Supply)</w:t>
      </w:r>
    </w:p>
    <w:p>
      <w:pPr>
        <w:pStyle w:val="Heading3"/>
      </w:pPr>
      <w:r>
        <w:t>Phase 1: Primary ICP</w:t>
      </w:r>
    </w:p>
    <w:p>
      <w:r>
        <w:t>Solar project developers with shovel-ready (permitted, ready to build) projects in the $1M–$5M range who need capital and cannot efficiently access it through traditional project finance. Community solar, small commercial rooftop, and behind-the-meter installations are the ideal Phase 1 asset types.</w:t>
      </w:r>
    </w:p>
    <w:tbl>
      <w:tblPr>
        <w:tblStyle w:val="LightGrid-Accent6"/>
        <w:tblW w:type="auto" w:w="0"/>
        <w:jc w:val="center"/>
        <w:tblLook w:firstColumn="1" w:firstRow="1" w:lastColumn="0" w:lastRow="0" w:noHBand="0" w:noVBand="1" w:val="04A0"/>
      </w:tblPr>
      <w:tblGrid>
        <w:gridCol w:w="4680"/>
        <w:gridCol w:w="4680"/>
      </w:tblGrid>
      <w:tr>
        <w:tc>
          <w:tcPr>
            <w:tcW w:type="dxa" w:w="4680"/>
          </w:tcPr>
          <w:p>
            <w:pPr>
              <w:jc w:val="left"/>
            </w:pPr>
            <w:r>
              <w:rPr>
                <w:rFonts w:ascii="Calibri" w:hAnsi="Calibri"/>
                <w:b/>
                <w:sz w:val="20"/>
              </w:rPr>
              <w:t>Dimension</w:t>
            </w:r>
          </w:p>
        </w:tc>
        <w:tc>
          <w:tcPr>
            <w:tcW w:type="dxa" w:w="4680"/>
          </w:tcPr>
          <w:p>
            <w:pPr>
              <w:jc w:val="left"/>
            </w:pPr>
            <w:r>
              <w:rPr>
                <w:rFonts w:ascii="Calibri" w:hAnsi="Calibri"/>
                <w:b/>
                <w:sz w:val="20"/>
              </w:rPr>
              <w:t>Detail</w:t>
            </w:r>
          </w:p>
        </w:tc>
      </w:tr>
      <w:tr>
        <w:tc>
          <w:tcPr>
            <w:tcW w:type="dxa" w:w="4680"/>
          </w:tcPr>
          <w:p>
            <w:r>
              <w:rPr>
                <w:rFonts w:ascii="Calibri" w:hAnsi="Calibri"/>
                <w:sz w:val="20"/>
              </w:rPr>
              <w:t>Developer Type</w:t>
            </w:r>
          </w:p>
        </w:tc>
        <w:tc>
          <w:tcPr>
            <w:tcW w:type="dxa" w:w="4680"/>
          </w:tcPr>
          <w:p>
            <w:r>
              <w:rPr>
                <w:rFonts w:ascii="Calibri" w:hAnsi="Calibri"/>
                <w:sz w:val="20"/>
              </w:rPr>
              <w:t>Solar developers (community, commercial, utility-scale)</w:t>
            </w:r>
          </w:p>
        </w:tc>
      </w:tr>
      <w:tr>
        <w:tc>
          <w:tcPr>
            <w:tcW w:type="dxa" w:w="4680"/>
          </w:tcPr>
          <w:p>
            <w:r>
              <w:rPr>
                <w:rFonts w:ascii="Calibri" w:hAnsi="Calibri"/>
                <w:sz w:val="20"/>
              </w:rPr>
              <w:t>Project Stage</w:t>
            </w:r>
          </w:p>
        </w:tc>
        <w:tc>
          <w:tcPr>
            <w:tcW w:type="dxa" w:w="4680"/>
          </w:tcPr>
          <w:p>
            <w:r>
              <w:rPr>
                <w:rFonts w:ascii="Calibri" w:hAnsi="Calibri"/>
                <w:sz w:val="20"/>
              </w:rPr>
              <w:t>Shovel-ready: permitted, ready to build, needs capital</w:t>
            </w:r>
          </w:p>
        </w:tc>
      </w:tr>
      <w:tr>
        <w:tc>
          <w:tcPr>
            <w:tcW w:type="dxa" w:w="4680"/>
          </w:tcPr>
          <w:p>
            <w:r>
              <w:rPr>
                <w:rFonts w:ascii="Calibri" w:hAnsi="Calibri"/>
                <w:sz w:val="20"/>
              </w:rPr>
              <w:t>Project Size</w:t>
            </w:r>
          </w:p>
        </w:tc>
        <w:tc>
          <w:tcPr>
            <w:tcW w:type="dxa" w:w="4680"/>
          </w:tcPr>
          <w:p>
            <w:r>
              <w:rPr>
                <w:rFonts w:ascii="Calibri" w:hAnsi="Calibri"/>
                <w:sz w:val="20"/>
              </w:rPr>
              <w:t>$1M–$5M</w:t>
            </w:r>
          </w:p>
        </w:tc>
      </w:tr>
      <w:tr>
        <w:tc>
          <w:tcPr>
            <w:tcW w:type="dxa" w:w="4680"/>
          </w:tcPr>
          <w:p>
            <w:r>
              <w:rPr>
                <w:rFonts w:ascii="Calibri" w:hAnsi="Calibri"/>
                <w:sz w:val="20"/>
              </w:rPr>
              <w:t>Pain Point</w:t>
            </w:r>
          </w:p>
        </w:tc>
        <w:tc>
          <w:tcPr>
            <w:tcW w:type="dxa" w:w="4680"/>
          </w:tcPr>
          <w:p>
            <w:r>
              <w:rPr>
                <w:rFonts w:ascii="Calibri" w:hAnsi="Calibri"/>
                <w:sz w:val="20"/>
              </w:rPr>
              <w:t>Too small for institutional project finance, too complex for individual investors</w:t>
            </w:r>
          </w:p>
        </w:tc>
      </w:tr>
      <w:tr>
        <w:tc>
          <w:tcPr>
            <w:tcW w:type="dxa" w:w="4680"/>
          </w:tcPr>
          <w:p>
            <w:r>
              <w:rPr>
                <w:rFonts w:ascii="Calibri" w:hAnsi="Calibri"/>
                <w:sz w:val="20"/>
              </w:rPr>
              <w:t>Acute Pain (2025)</w:t>
            </w:r>
          </w:p>
        </w:tc>
        <w:tc>
          <w:tcPr>
            <w:tcW w:type="dxa" w:w="4680"/>
          </w:tcPr>
          <w:p>
            <w:r>
              <w:rPr>
                <w:rFonts w:ascii="Calibri" w:hAnsi="Calibri"/>
                <w:sz w:val="20"/>
              </w:rPr>
              <w:t>Federal funding cuts (Solar for All) left permitted projects stranded</w:t>
            </w:r>
          </w:p>
        </w:tc>
      </w:tr>
    </w:tbl>
    <w:p/>
    <w:p>
      <w:pPr>
        <w:pStyle w:val="Heading3"/>
      </w:pPr>
      <w:r>
        <w:t>Supply Acquisition Strategy</w:t>
      </w:r>
    </w:p>
    <w:p>
      <w:r>
        <w:rPr>
          <w:b/>
        </w:rPr>
        <w:t xml:space="preserve">Founder advantage: </w:t>
      </w:r>
      <w:r>
        <w:t>The founder's direct experience with the BLM renewable energy development process — including relationships with BLM officers across western states — provides a warm path into the developer community. BLM contacts know which developers in their regions have permitted projects and are seeking capital.</w:t>
      </w:r>
    </w:p>
    <w:p>
      <w:r>
        <w:rPr>
          <w:b/>
        </w:rPr>
        <w:t xml:space="preserve">Immediate: </w:t>
      </w:r>
      <w:r>
        <w:t>Re-engage existing developer contacts and BLM relationships with a specific value proposition around private capital access for stranded projects.</w:t>
      </w:r>
    </w:p>
    <w:p>
      <w:r>
        <w:rPr>
          <w:b/>
        </w:rPr>
        <w:t xml:space="preserve">30-day: </w:t>
      </w:r>
      <w:r>
        <w:t>Target solar developers impacted by Solar for All funding cuts. Lead with the problem, not the platform.</w:t>
      </w:r>
    </w:p>
    <w:p>
      <w:r>
        <w:rPr>
          <w:b/>
        </w:rPr>
        <w:t xml:space="preserve">60-day: </w:t>
      </w:r>
      <w:r>
        <w:t>Join SEIA and state-level solar associations. Build presence in developer communities.</w:t>
      </w:r>
    </w:p>
    <w:p>
      <w:r>
        <w:rPr>
          <w:b/>
        </w:rPr>
        <w:t xml:space="preserve">Content angle: </w:t>
      </w:r>
      <w:r>
        <w:t>Position EcoXchange as the private capital alternative for projects that government funding left behind.</w:t>
      </w:r>
    </w:p>
    <w:p>
      <w:r>
        <w:br w:type="page"/>
      </w:r>
    </w:p>
    <w:p>
      <w:pPr>
        <w:pStyle w:val="Heading1"/>
      </w:pPr>
      <w:r>
        <w:t>7. Current Product Status</w:t>
      </w:r>
    </w:p>
    <w:p>
      <w:r>
        <w:t>A functional prototype of the EcoXchange platform has been built and is operational in a sandbox environment. This prototype demonstrates end-to-end product thinking and validates the core user flows.</w:t>
      </w:r>
    </w:p>
    <w:p>
      <w:pPr>
        <w:pStyle w:val="Heading2"/>
      </w:pPr>
      <w:r>
        <w:t>What Has Been Built</w:t>
      </w:r>
    </w:p>
    <w:p>
      <w:r>
        <w:rPr>
          <w:b/>
        </w:rPr>
        <w:t xml:space="preserve">KYC/AML Verification Workflow: </w:t>
      </w:r>
      <w:r>
        <w:t>Sandbox integration with Persona for identity verification and accreditation gating. Demonstrates the compliance-first onboarding flow that is foundational to the platform.</w:t>
      </w:r>
    </w:p>
    <w:p>
      <w:r>
        <w:rPr>
          <w:b/>
        </w:rPr>
        <w:t xml:space="preserve">Mock Project Listing &amp; Investment Flow: </w:t>
      </w:r>
      <w:r>
        <w:t>Investors can browse project offerings, view financial details, and simulate the investment process — from discovery through subscription.</w:t>
      </w:r>
    </w:p>
    <w:p>
      <w:r>
        <w:rPr>
          <w:b/>
        </w:rPr>
        <w:t xml:space="preserve">Investor Onboarding: </w:t>
      </w:r>
      <w:r>
        <w:t>Account creation, compliance gating (KYC → accreditation verification → subscription eligibility), and investor dashboard.</w:t>
      </w:r>
    </w:p>
    <w:p>
      <w:r>
        <w:rPr>
          <w:b/>
        </w:rPr>
        <w:t xml:space="preserve">Yield Simulation Dashboard: </w:t>
      </w:r>
      <w:r>
        <w:t>Displays projected yield based on energy production data and PPA revenue. Serves as the primary demo centerpiece for investor and advisor conversations.</w:t>
      </w:r>
    </w:p>
    <w:p>
      <w:pPr>
        <w:pStyle w:val="Heading2"/>
      </w:pPr>
      <w:r>
        <w:t>Immediate Product Priorities</w:t>
      </w:r>
    </w:p>
    <w:p>
      <w:r>
        <w:rPr>
          <w:b/>
        </w:rPr>
        <w:t xml:space="preserve">Migration to production hosting: </w:t>
      </w:r>
      <w:r>
        <w:t>Move from Replit to a custom domain with professional hosting (Vercel, AWS, or Railway). This is a pre-condition for any investor-facing activity.</w:t>
      </w:r>
    </w:p>
    <w:p>
      <w:r>
        <w:rPr>
          <w:b/>
        </w:rPr>
        <w:t xml:space="preserve">Demo polish: </w:t>
      </w:r>
      <w:r>
        <w:t>Record a 2-minute Loom walkthrough showing end-to-end flow. This is the primary fundraising tool alongside the NorthStar document.</w:t>
      </w:r>
    </w:p>
    <w:p>
      <w:r>
        <w:rPr>
          <w:b/>
        </w:rPr>
        <w:t xml:space="preserve">Project detail page refinement: </w:t>
      </w:r>
      <w:r>
        <w:t>Build one fully modeled project detail page with complete financial modeling — can use synthetic data initially.</w:t>
      </w:r>
    </w:p>
    <w:p>
      <w:r>
        <w:br w:type="page"/>
      </w:r>
    </w:p>
    <w:p>
      <w:pPr>
        <w:pStyle w:val="Heading1"/>
      </w:pPr>
      <w:r>
        <w:t>8. Legal Architecture</w:t>
      </w:r>
    </w:p>
    <w:tbl>
      <w:tblPr>
        <w:tblStyle w:val="LightGrid-Accent6"/>
        <w:tblW w:type="auto" w:w="0"/>
        <w:jc w:val="center"/>
        <w:tblLook w:firstColumn="1" w:firstRow="1" w:lastColumn="0" w:lastRow="0" w:noHBand="0" w:noVBand="1" w:val="04A0"/>
      </w:tblPr>
      <w:tblGrid>
        <w:gridCol w:w="4680"/>
        <w:gridCol w:w="4680"/>
      </w:tblGrid>
      <w:tr>
        <w:tc>
          <w:tcPr>
            <w:tcW w:type="dxa" w:w="4680"/>
          </w:tcPr>
          <w:p>
            <w:pPr>
              <w:jc w:val="left"/>
            </w:pPr>
            <w:r>
              <w:rPr>
                <w:rFonts w:ascii="Calibri" w:hAnsi="Calibri"/>
                <w:b/>
                <w:sz w:val="20"/>
              </w:rPr>
              <w:t>Element</w:t>
            </w:r>
          </w:p>
        </w:tc>
        <w:tc>
          <w:tcPr>
            <w:tcW w:type="dxa" w:w="4680"/>
          </w:tcPr>
          <w:p>
            <w:pPr>
              <w:jc w:val="left"/>
            </w:pPr>
            <w:r>
              <w:rPr>
                <w:rFonts w:ascii="Calibri" w:hAnsi="Calibri"/>
                <w:b/>
                <w:sz w:val="20"/>
              </w:rPr>
              <w:t>Detail</w:t>
            </w:r>
          </w:p>
        </w:tc>
      </w:tr>
      <w:tr>
        <w:tc>
          <w:tcPr>
            <w:tcW w:type="dxa" w:w="4680"/>
          </w:tcPr>
          <w:p>
            <w:r>
              <w:rPr>
                <w:rFonts w:ascii="Calibri" w:hAnsi="Calibri"/>
                <w:sz w:val="20"/>
              </w:rPr>
              <w:t>Entity</w:t>
            </w:r>
          </w:p>
        </w:tc>
        <w:tc>
          <w:tcPr>
            <w:tcW w:type="dxa" w:w="4680"/>
          </w:tcPr>
          <w:p>
            <w:r>
              <w:rPr>
                <w:rFonts w:ascii="Calibri" w:hAnsi="Calibri"/>
                <w:sz w:val="20"/>
              </w:rPr>
              <w:t>Delaware C-Corporation</w:t>
            </w:r>
          </w:p>
        </w:tc>
      </w:tr>
      <w:tr>
        <w:tc>
          <w:tcPr>
            <w:tcW w:type="dxa" w:w="4680"/>
          </w:tcPr>
          <w:p>
            <w:r>
              <w:rPr>
                <w:rFonts w:ascii="Calibri" w:hAnsi="Calibri"/>
                <w:sz w:val="20"/>
              </w:rPr>
              <w:t>Phase 1 Exemption</w:t>
            </w:r>
          </w:p>
        </w:tc>
        <w:tc>
          <w:tcPr>
            <w:tcW w:type="dxa" w:w="4680"/>
          </w:tcPr>
          <w:p>
            <w:r>
              <w:rPr>
                <w:rFonts w:ascii="Calibri" w:hAnsi="Calibri"/>
                <w:sz w:val="20"/>
              </w:rPr>
              <w:t>Reg D 506(c) — accredited only, general solicitation permitted</w:t>
            </w:r>
          </w:p>
        </w:tc>
      </w:tr>
      <w:tr>
        <w:tc>
          <w:tcPr>
            <w:tcW w:type="dxa" w:w="4680"/>
          </w:tcPr>
          <w:p>
            <w:r>
              <w:rPr>
                <w:rFonts w:ascii="Calibri" w:hAnsi="Calibri"/>
                <w:sz w:val="20"/>
              </w:rPr>
              <w:t>Phase 2 Exemption</w:t>
            </w:r>
          </w:p>
        </w:tc>
        <w:tc>
          <w:tcPr>
            <w:tcW w:type="dxa" w:w="4680"/>
          </w:tcPr>
          <w:p>
            <w:r>
              <w:rPr>
                <w:rFonts w:ascii="Calibri" w:hAnsi="Calibri"/>
                <w:sz w:val="20"/>
              </w:rPr>
              <w:t>Add Reg CF (up to $5M, non-accredited, requires funding portal/BD)</w:t>
            </w:r>
          </w:p>
        </w:tc>
      </w:tr>
      <w:tr>
        <w:tc>
          <w:tcPr>
            <w:tcW w:type="dxa" w:w="4680"/>
          </w:tcPr>
          <w:p>
            <w:r>
              <w:rPr>
                <w:rFonts w:ascii="Calibri" w:hAnsi="Calibri"/>
                <w:sz w:val="20"/>
              </w:rPr>
              <w:t>SPV Structure</w:t>
            </w:r>
          </w:p>
        </w:tc>
        <w:tc>
          <w:tcPr>
            <w:tcW w:type="dxa" w:w="4680"/>
          </w:tcPr>
          <w:p>
            <w:r>
              <w:rPr>
                <w:rFonts w:ascii="Calibri" w:hAnsi="Calibri"/>
                <w:sz w:val="20"/>
              </w:rPr>
              <w:t>Per-project Delaware LLC; tokenized membership interests</w:t>
            </w:r>
          </w:p>
        </w:tc>
      </w:tr>
      <w:tr>
        <w:tc>
          <w:tcPr>
            <w:tcW w:type="dxa" w:w="4680"/>
          </w:tcPr>
          <w:p>
            <w:r>
              <w:rPr>
                <w:rFonts w:ascii="Calibri" w:hAnsi="Calibri"/>
                <w:sz w:val="20"/>
              </w:rPr>
              <w:t>Securities Counsel</w:t>
            </w:r>
          </w:p>
        </w:tc>
        <w:tc>
          <w:tcPr>
            <w:tcW w:type="dxa" w:w="4680"/>
          </w:tcPr>
          <w:p>
            <w:r>
              <w:rPr>
                <w:rFonts w:ascii="Calibri" w:hAnsi="Calibri"/>
                <w:sz w:val="20"/>
              </w:rPr>
              <w:t>NOT YET RETAINED — #1 priority hire</w:t>
            </w:r>
          </w:p>
        </w:tc>
      </w:tr>
    </w:tbl>
    <w:p/>
    <w:p>
      <w:pPr>
        <w:pStyle w:val="Heading2"/>
      </w:pPr>
      <w:r>
        <w:t>Why 506(c) for Phase 1</w:t>
      </w:r>
    </w:p>
    <w:p>
      <w:r>
        <w:t>Reg D 506(c) allows general solicitation, meaning offerings can be publicly marketed on the platform, social media, and through direct outreach. The tradeoff is that every investor must be verified accredited (not self-certified). Given that EcoXchange is starting cold without an investor network, the ability to publicly market is far more valuable than the flexibility of 506(b). General solicitation is essential for building the demand side.</w:t>
      </w:r>
    </w:p>
    <w:p>
      <w:pPr>
        <w:pStyle w:val="Heading2"/>
      </w:pPr>
      <w:r>
        <w:t>Parallel Offering Structure (Phase 2)</w:t>
      </w:r>
    </w:p>
    <w:p>
      <w:r>
        <w:t>In Phase 2, EcoXchange can run Reg D and Reg CF offerings side by side on the same project. For example, a project raises $3M via Reg D from accredited investors and $1M via Reg CF from retail. This maximizes capital formation and broadens the investor base. Reg CF requires use of an SEC-registered funding portal or broker-dealer.</w:t>
      </w:r>
    </w:p>
    <w:p>
      <w:pPr>
        <w:pStyle w:val="Heading2"/>
      </w:pPr>
      <w:r>
        <w:t>Securities Counsel: Critical Dependency</w:t>
      </w:r>
    </w:p>
    <w:p>
      <w:r>
        <w:t xml:space="preserve">Nothing moves forward legally without securities counsel. Securities counsel is required for structuring SPVs, drafting Private Placement Memorandums (PPMs), filing Form D with the SEC, creating subscription agreements, establishing transfer restriction logic, and advising on blue sky compliance. Estimated cost: $15K–$30K for initial offering documentation. </w:t>
      </w:r>
      <w:r>
        <w:rPr>
          <w:b/>
        </w:rPr>
        <w:t>This is the single most important investment the company will make pre-launch.</w:t>
      </w:r>
    </w:p>
    <w:p>
      <w:r>
        <w:rPr>
          <w:b/>
        </w:rPr>
        <w:t xml:space="preserve">Founder licensure context: </w:t>
      </w:r>
      <w:r>
        <w:t>The founder's pursuit of the SIE and Series 63 ensures that engagement with securities counsel will be substantive and efficient. The founder can engage at a professional level on SPV structuring, blue sky requirements, and transfer restriction logic — reducing billable hours and improving outcomes.</w:t>
      </w:r>
    </w:p>
    <w:p>
      <w:r>
        <w:br w:type="page"/>
      </w:r>
    </w:p>
    <w:p>
      <w:pPr>
        <w:pStyle w:val="Heading1"/>
      </w:pPr>
      <w:r>
        <w:t>9. Regulatory Pathway</w:t>
      </w:r>
    </w:p>
    <w:p>
      <w:r>
        <w:t>EcoXchange's North Star includes tradable digital securities, retail investors, and a secondary market. This means the company is building toward a fully regulated securities infrastructure. The approach is phased to avoid overreach while ensuring architecture supports future requirements.</w:t>
      </w:r>
    </w:p>
    <w:p>
      <w:pPr>
        <w:pStyle w:val="Heading2"/>
      </w:pPr>
      <w:r>
        <w:t>Regulatory Stack</w:t>
      </w:r>
    </w:p>
    <w:tbl>
      <w:tblPr>
        <w:tblStyle w:val="LightGrid-Accent6"/>
        <w:tblW w:type="auto" w:w="0"/>
        <w:jc w:val="center"/>
        <w:tblLook w:firstColumn="1" w:firstRow="1" w:lastColumn="0" w:lastRow="0" w:noHBand="0" w:noVBand="1" w:val="04A0"/>
      </w:tblPr>
      <w:tblGrid>
        <w:gridCol w:w="3120"/>
        <w:gridCol w:w="3120"/>
        <w:gridCol w:w="3120"/>
      </w:tblGrid>
      <w:tr>
        <w:tc>
          <w:tcPr>
            <w:tcW w:type="dxa" w:w="3120"/>
          </w:tcPr>
          <w:p>
            <w:pPr>
              <w:jc w:val="left"/>
            </w:pPr>
            <w:r>
              <w:rPr>
                <w:rFonts w:ascii="Calibri" w:hAnsi="Calibri"/>
                <w:b/>
                <w:sz w:val="20"/>
              </w:rPr>
              <w:t>Function</w:t>
            </w:r>
          </w:p>
        </w:tc>
        <w:tc>
          <w:tcPr>
            <w:tcW w:type="dxa" w:w="3120"/>
          </w:tcPr>
          <w:p>
            <w:pPr>
              <w:jc w:val="left"/>
            </w:pPr>
            <w:r>
              <w:rPr>
                <w:rFonts w:ascii="Calibri" w:hAnsi="Calibri"/>
                <w:b/>
                <w:sz w:val="20"/>
              </w:rPr>
              <w:t>Phase 1 Strategy</w:t>
            </w:r>
          </w:p>
        </w:tc>
        <w:tc>
          <w:tcPr>
            <w:tcW w:type="dxa" w:w="3120"/>
          </w:tcPr>
          <w:p>
            <w:pPr>
              <w:jc w:val="left"/>
            </w:pPr>
            <w:r>
              <w:rPr>
                <w:rFonts w:ascii="Calibri" w:hAnsi="Calibri"/>
                <w:b/>
                <w:sz w:val="20"/>
              </w:rPr>
              <w:t>Long-Term Path</w:t>
            </w:r>
          </w:p>
        </w:tc>
      </w:tr>
      <w:tr>
        <w:tc>
          <w:tcPr>
            <w:tcW w:type="dxa" w:w="3120"/>
          </w:tcPr>
          <w:p>
            <w:r>
              <w:rPr>
                <w:rFonts w:ascii="Calibri" w:hAnsi="Calibri"/>
                <w:sz w:val="20"/>
              </w:rPr>
              <w:t>Broker-Dealer</w:t>
            </w:r>
          </w:p>
        </w:tc>
        <w:tc>
          <w:tcPr>
            <w:tcW w:type="dxa" w:w="3120"/>
          </w:tcPr>
          <w:p>
            <w:r>
              <w:rPr>
                <w:rFonts w:ascii="Calibri" w:hAnsi="Calibri"/>
                <w:sz w:val="20"/>
              </w:rPr>
              <w:t>Partner with existing BD</w:t>
            </w:r>
          </w:p>
        </w:tc>
        <w:tc>
          <w:tcPr>
            <w:tcW w:type="dxa" w:w="3120"/>
          </w:tcPr>
          <w:p>
            <w:r>
              <w:rPr>
                <w:rFonts w:ascii="Calibri" w:hAnsi="Calibri"/>
                <w:sz w:val="20"/>
              </w:rPr>
              <w:t>Evaluate own BD registration</w:t>
            </w:r>
          </w:p>
        </w:tc>
      </w:tr>
      <w:tr>
        <w:tc>
          <w:tcPr>
            <w:tcW w:type="dxa" w:w="3120"/>
          </w:tcPr>
          <w:p>
            <w:r>
              <w:rPr>
                <w:rFonts w:ascii="Calibri" w:hAnsi="Calibri"/>
                <w:sz w:val="20"/>
              </w:rPr>
              <w:t>Transfer Agent</w:t>
            </w:r>
          </w:p>
        </w:tc>
        <w:tc>
          <w:tcPr>
            <w:tcW w:type="dxa" w:w="3120"/>
          </w:tcPr>
          <w:p>
            <w:r>
              <w:rPr>
                <w:rFonts w:ascii="Calibri" w:hAnsi="Calibri"/>
                <w:sz w:val="20"/>
              </w:rPr>
              <w:t>Integrate (Securitize, KoreConX, etc.)</w:t>
            </w:r>
          </w:p>
        </w:tc>
        <w:tc>
          <w:tcPr>
            <w:tcW w:type="dxa" w:w="3120"/>
          </w:tcPr>
          <w:p>
            <w:r>
              <w:rPr>
                <w:rFonts w:ascii="Calibri" w:hAnsi="Calibri"/>
                <w:sz w:val="20"/>
              </w:rPr>
              <w:t>Evaluate own TA registration</w:t>
            </w:r>
          </w:p>
        </w:tc>
      </w:tr>
      <w:tr>
        <w:tc>
          <w:tcPr>
            <w:tcW w:type="dxa" w:w="3120"/>
          </w:tcPr>
          <w:p>
            <w:r>
              <w:rPr>
                <w:rFonts w:ascii="Calibri" w:hAnsi="Calibri"/>
                <w:sz w:val="20"/>
              </w:rPr>
              <w:t>ATS</w:t>
            </w:r>
          </w:p>
        </w:tc>
        <w:tc>
          <w:tcPr>
            <w:tcW w:type="dxa" w:w="3120"/>
          </w:tcPr>
          <w:p>
            <w:r>
              <w:rPr>
                <w:rFonts w:ascii="Calibri" w:hAnsi="Calibri"/>
                <w:sz w:val="20"/>
              </w:rPr>
              <w:t>Deferred — no secondary trading</w:t>
            </w:r>
          </w:p>
        </w:tc>
        <w:tc>
          <w:tcPr>
            <w:tcW w:type="dxa" w:w="3120"/>
          </w:tcPr>
          <w:p>
            <w:r>
              <w:rPr>
                <w:rFonts w:ascii="Calibri" w:hAnsi="Calibri"/>
                <w:sz w:val="20"/>
              </w:rPr>
              <w:t>ATS registration or partnership</w:t>
            </w:r>
          </w:p>
        </w:tc>
      </w:tr>
      <w:tr>
        <w:tc>
          <w:tcPr>
            <w:tcW w:type="dxa" w:w="3120"/>
          </w:tcPr>
          <w:p>
            <w:r>
              <w:rPr>
                <w:rFonts w:ascii="Calibri" w:hAnsi="Calibri"/>
                <w:sz w:val="20"/>
              </w:rPr>
              <w:t>Custodian</w:t>
            </w:r>
          </w:p>
        </w:tc>
        <w:tc>
          <w:tcPr>
            <w:tcW w:type="dxa" w:w="3120"/>
          </w:tcPr>
          <w:p>
            <w:r>
              <w:rPr>
                <w:rFonts w:ascii="Calibri" w:hAnsi="Calibri"/>
                <w:sz w:val="20"/>
              </w:rPr>
              <w:t>Integrate with qualified custodian</w:t>
            </w:r>
          </w:p>
        </w:tc>
        <w:tc>
          <w:tcPr>
            <w:tcW w:type="dxa" w:w="3120"/>
          </w:tcPr>
          <w:p>
            <w:r>
              <w:rPr>
                <w:rFonts w:ascii="Calibri" w:hAnsi="Calibri"/>
                <w:sz w:val="20"/>
              </w:rPr>
              <w:t>Maintain integration model</w:t>
            </w:r>
          </w:p>
        </w:tc>
      </w:tr>
      <w:tr>
        <w:tc>
          <w:tcPr>
            <w:tcW w:type="dxa" w:w="3120"/>
          </w:tcPr>
          <w:p>
            <w:r>
              <w:rPr>
                <w:rFonts w:ascii="Calibri" w:hAnsi="Calibri"/>
                <w:sz w:val="20"/>
              </w:rPr>
              <w:t>KYC/AML</w:t>
            </w:r>
          </w:p>
        </w:tc>
        <w:tc>
          <w:tcPr>
            <w:tcW w:type="dxa" w:w="3120"/>
          </w:tcPr>
          <w:p>
            <w:r>
              <w:rPr>
                <w:rFonts w:ascii="Calibri" w:hAnsi="Calibri"/>
                <w:sz w:val="20"/>
              </w:rPr>
              <w:t>Technology integration (Persona, Plaid, etc.)</w:t>
            </w:r>
          </w:p>
        </w:tc>
        <w:tc>
          <w:tcPr>
            <w:tcW w:type="dxa" w:w="3120"/>
          </w:tcPr>
          <w:p>
            <w:r>
              <w:rPr>
                <w:rFonts w:ascii="Calibri" w:hAnsi="Calibri"/>
                <w:sz w:val="20"/>
              </w:rPr>
              <w:t>Enhance with ongoing monitoring</w:t>
            </w:r>
          </w:p>
        </w:tc>
      </w:tr>
    </w:tbl>
    <w:p/>
    <w:p>
      <w:pPr>
        <w:pStyle w:val="Heading2"/>
      </w:pPr>
      <w:r>
        <w:t>Architecture Principle</w:t>
      </w:r>
    </w:p>
    <w:p>
      <w:r>
        <w:t xml:space="preserve">The MVP can focus on accredited investors, primary issuance, and simulated liquidity. But </w:t>
      </w:r>
      <w:r>
        <w:rPr>
          <w:b/>
        </w:rPr>
        <w:t>all architecture decisions must assume future regulated secondary trading.</w:t>
      </w:r>
      <w:r>
        <w:t xml:space="preserve"> Every data model, compliance check, and token design choice should be forward-compatible with ATS requirements.</w:t>
      </w:r>
    </w:p>
    <w:p>
      <w:r>
        <w:br w:type="page"/>
      </w:r>
    </w:p>
    <w:p>
      <w:pPr>
        <w:pStyle w:val="Heading1"/>
      </w:pPr>
      <w:r>
        <w:t>10. Product Pillars</w:t>
      </w:r>
    </w:p>
    <w:p>
      <w:r>
        <w:t>Everything built must support these five pillars:</w:t>
      </w:r>
    </w:p>
    <w:p>
      <w:pPr>
        <w:pStyle w:val="Heading2"/>
      </w:pPr>
      <w:r>
        <w:t>Pillar 1: Digital Securities Issuance</w:t>
      </w:r>
    </w:p>
    <w:p>
      <w:pPr>
        <w:pStyle w:val="ListBullet"/>
      </w:pPr>
      <w:r>
        <w:t>Tokenized renewable energy securities (SPV membership interests).</w:t>
      </w:r>
    </w:p>
    <w:p>
      <w:pPr>
        <w:pStyle w:val="ListBullet"/>
      </w:pPr>
      <w:r>
        <w:t>Offering management workflows (create, configure, launch, close).</w:t>
      </w:r>
    </w:p>
    <w:p>
      <w:pPr>
        <w:pStyle w:val="ListBullet"/>
      </w:pPr>
      <w:r>
        <w:t>Cap table tracking and token registry.</w:t>
      </w:r>
    </w:p>
    <w:p>
      <w:pPr>
        <w:pStyle w:val="ListBullet"/>
      </w:pPr>
      <w:r>
        <w:t>Compliance gating (KYC → accreditation → subscription → issuance).</w:t>
      </w:r>
    </w:p>
    <w:p>
      <w:pPr>
        <w:pStyle w:val="Heading2"/>
      </w:pPr>
      <w:r>
        <w:t>Pillar 2: Yield Infrastructure (Key Differentiator)</w:t>
      </w:r>
    </w:p>
    <w:p>
      <w:r>
        <w:rPr>
          <w:b/>
        </w:rPr>
        <w:t>This pillar represents EcoXchange's most defensible technology advantage.</w:t>
      </w:r>
      <w:r>
        <w:t xml:space="preserve"> The ability to ingest real-time energy production data and programmatically calculate and distribute investor yield is the product capability that separates EcoXchange from generic tokenization platforms.</w:t>
      </w:r>
    </w:p>
    <w:p>
      <w:pPr>
        <w:pStyle w:val="ListBullet"/>
      </w:pPr>
      <w:r>
        <w:t>Revenue ingestion from project monitoring / SCADA systems.</w:t>
      </w:r>
    </w:p>
    <w:p>
      <w:pPr>
        <w:pStyle w:val="ListBullet"/>
      </w:pPr>
      <w:r>
        <w:t>Production-based yield calculations (MWh → PPA revenue → net distributable income).</w:t>
      </w:r>
    </w:p>
    <w:p>
      <w:pPr>
        <w:pStyle w:val="ListBullet"/>
      </w:pPr>
      <w:r>
        <w:t>Automated pro-rata distribution logic.</w:t>
      </w:r>
    </w:p>
    <w:p>
      <w:pPr>
        <w:pStyle w:val="ListBullet"/>
      </w:pPr>
      <w:r>
        <w:t>Transparent reporting dashboards for investors.</w:t>
      </w:r>
    </w:p>
    <w:p>
      <w:pPr>
        <w:pStyle w:val="Heading2"/>
      </w:pPr>
      <w:r>
        <w:t>Pillar 3: Investment Infrastructure</w:t>
      </w:r>
    </w:p>
    <w:p>
      <w:pPr>
        <w:pStyle w:val="ListBullet"/>
      </w:pPr>
      <w:r>
        <w:t>Investor onboarding (KYC/AML, accreditation verification).</w:t>
      </w:r>
    </w:p>
    <w:p>
      <w:pPr>
        <w:pStyle w:val="ListBullet"/>
      </w:pPr>
      <w:r>
        <w:t>Project discovery and detail pages.</w:t>
      </w:r>
    </w:p>
    <w:p>
      <w:pPr>
        <w:pStyle w:val="ListBullet"/>
      </w:pPr>
      <w:r>
        <w:t>Offering participation and subscription management.</w:t>
      </w:r>
    </w:p>
    <w:p>
      <w:pPr>
        <w:pStyle w:val="ListBullet"/>
      </w:pPr>
      <w:r>
        <w:t>Investor dashboards (portfolio, yield history, documents).</w:t>
      </w:r>
    </w:p>
    <w:p>
      <w:pPr>
        <w:pStyle w:val="Heading2"/>
      </w:pPr>
      <w:r>
        <w:t>Pillar 4: Compliance-First Architecture</w:t>
      </w:r>
    </w:p>
    <w:p>
      <w:pPr>
        <w:pStyle w:val="ListBullet"/>
      </w:pPr>
      <w:r>
        <w:t>Broker-dealer partnership integration.</w:t>
      </w:r>
    </w:p>
    <w:p>
      <w:pPr>
        <w:pStyle w:val="ListBullet"/>
      </w:pPr>
      <w:r>
        <w:t>Transfer agent integration for official ownership records.</w:t>
      </w:r>
    </w:p>
    <w:p>
      <w:pPr>
        <w:pStyle w:val="ListBullet"/>
      </w:pPr>
      <w:r>
        <w:t>Securities transfer restrictions enforced programmatically.</w:t>
      </w:r>
    </w:p>
    <w:p>
      <w:pPr>
        <w:pStyle w:val="ListBullet"/>
      </w:pPr>
      <w:r>
        <w:t>Strong KYC/AML with ongoing monitoring.</w:t>
      </w:r>
    </w:p>
    <w:p>
      <w:pPr>
        <w:pStyle w:val="ListBullet"/>
      </w:pPr>
      <w:r>
        <w:t>Blue sky compliance considerations.</w:t>
      </w:r>
    </w:p>
    <w:p>
      <w:pPr>
        <w:pStyle w:val="Heading2"/>
      </w:pPr>
      <w:r>
        <w:t>Pillar 5: Liquidity Layer (Phase 3)</w:t>
      </w:r>
    </w:p>
    <w:p>
      <w:pPr>
        <w:pStyle w:val="ListBullet"/>
      </w:pPr>
      <w:r>
        <w:t>Compliant secondary trading environment via ATS.</w:t>
      </w:r>
    </w:p>
    <w:p>
      <w:pPr>
        <w:pStyle w:val="ListBullet"/>
      </w:pPr>
      <w:r>
        <w:t>Transfer restrictions enforced programmatically.</w:t>
      </w:r>
    </w:p>
    <w:p>
      <w:pPr>
        <w:pStyle w:val="ListBullet"/>
      </w:pPr>
      <w:r>
        <w:t>Holding period logic (Reg D 12-month lockup).</w:t>
      </w:r>
    </w:p>
    <w:p>
      <w:pPr>
        <w:pStyle w:val="ListBullet"/>
      </w:pPr>
      <w:r>
        <w:t>Regulatory-aware smart compliance engine.</w:t>
      </w:r>
    </w:p>
    <w:p>
      <w:r>
        <w:br w:type="page"/>
      </w:r>
    </w:p>
    <w:p>
      <w:pPr>
        <w:pStyle w:val="Heading1"/>
      </w:pPr>
      <w:r>
        <w:t>11. Competitive Positioning &amp; Defensibility</w:t>
      </w:r>
    </w:p>
    <w:p>
      <w:pPr>
        <w:pStyle w:val="Heading2"/>
      </w:pPr>
      <w:r>
        <w:t>The "Unfair Advantage" Question</w:t>
      </w:r>
    </w:p>
    <w:p>
      <w:r>
        <w:t>Digital securities infrastructure exists — Securitize, KoreConX, Polymath, and Republic have all built generalized tokenization platforms. EcoXchange's competitive positioning is not "we built tokenization infrastructure" but rather "we built the only platform purpose-built for renewable energy securities with integrated energy-to-yield infrastructure."</w:t>
      </w:r>
    </w:p>
    <w:p>
      <w:pPr>
        <w:pStyle w:val="Heading2"/>
      </w:pPr>
      <w:r>
        <w:t>Where Defensibility Lives</w:t>
      </w:r>
    </w:p>
    <w:p>
      <w:r>
        <w:rPr>
          <w:b/>
        </w:rPr>
        <w:t xml:space="preserve">Vertical specialization: </w:t>
      </w:r>
      <w:r>
        <w:t>Generic platforms serve all asset classes but optimize for none. EcoXchange is purpose-built for energy securities, with product design informed by direct developer experience.</w:t>
      </w:r>
    </w:p>
    <w:p>
      <w:r>
        <w:rPr>
          <w:b/>
        </w:rPr>
        <w:t xml:space="preserve">Energy-to-yield pipeline: </w:t>
      </w:r>
      <w:r>
        <w:t>Ingesting SCADA data, calculating production-based yield, and automating distributions is domain-specific infrastructure that generalist platforms do not build. This is the core technical moat.</w:t>
      </w:r>
    </w:p>
    <w:p>
      <w:r>
        <w:rPr>
          <w:b/>
        </w:rPr>
        <w:t xml:space="preserve">Supply-side relationships: </w:t>
      </w:r>
      <w:r>
        <w:t>Founder's BLM development experience and relationships provide warm paths into the developer community. Every developer onboarded increases the platform's value to investors, and vice versa — creating a network effect.</w:t>
      </w:r>
    </w:p>
    <w:p>
      <w:r>
        <w:rPr>
          <w:b/>
        </w:rPr>
        <w:t xml:space="preserve">Regulatory credibility: </w:t>
      </w:r>
      <w:r>
        <w:t>Founder's personal securities licensure pursuit, combined with compliance-first architecture, builds trust with both developers and investors in a market where regulatory confidence is a differentiator.</w:t>
      </w:r>
    </w:p>
    <w:p>
      <w:r>
        <w:rPr>
          <w:b/>
        </w:rPr>
        <w:t xml:space="preserve">Market timing: </w:t>
      </w:r>
      <w:r>
        <w:t>First-mover advantage in the post-Solar for All funding gap. The window to capture stranded projects is open now — it will not be open forever.</w:t>
      </w:r>
    </w:p>
    <w:p>
      <w:pPr>
        <w:pStyle w:val="Heading2"/>
      </w:pPr>
      <w:r>
        <w:t>Honest Assessment</w:t>
      </w:r>
    </w:p>
    <w:p>
      <w:r>
        <w:t>At pre-seed, the moat is early-stage. The energy-to-yield infrastructure must be built and proven. Developer relationships must be deepened. The network effect has not yet started. But the thesis is structurally sound, the vertical focus is a defensible strategic choice, and the founder's background provides a credible foundation for execution.</w:t>
      </w:r>
    </w:p>
    <w:p>
      <w:r>
        <w:br w:type="page"/>
      </w:r>
    </w:p>
    <w:p>
      <w:pPr>
        <w:pStyle w:val="Heading1"/>
      </w:pPr>
      <w:r>
        <w:t>12. Phased Execution Strategy</w:t>
      </w:r>
    </w:p>
    <w:p>
      <w:pPr>
        <w:pStyle w:val="Heading2"/>
      </w:pPr>
      <w:r>
        <w:t>Phase 1: Foundation (Current)</w:t>
      </w:r>
    </w:p>
    <w:p>
      <w:r>
        <w:rPr>
          <w:b/>
        </w:rPr>
        <w:t xml:space="preserve">Focus: </w:t>
      </w:r>
      <w:r>
        <w:t>Prove the model with accredited investors and primary issuance.</w:t>
      </w:r>
    </w:p>
    <w:p>
      <w:pPr>
        <w:pStyle w:val="ListBullet"/>
      </w:pPr>
      <w:r>
        <w:t>Accredited investors only (Reg D 506(c)).</w:t>
      </w:r>
    </w:p>
    <w:p>
      <w:pPr>
        <w:pStyle w:val="ListBullet"/>
      </w:pPr>
      <w:r>
        <w:t>Private offerings, 1–3 pilot projects ($1M–$5M each).</w:t>
      </w:r>
    </w:p>
    <w:p>
      <w:pPr>
        <w:pStyle w:val="ListBullet"/>
      </w:pPr>
      <w:r>
        <w:t>Yield simulation engine (demo-ready, then live with pilot project data).</w:t>
      </w:r>
    </w:p>
    <w:p>
      <w:pPr>
        <w:pStyle w:val="ListBullet"/>
      </w:pPr>
      <w:r>
        <w:t>Investor onboarding flow with KYC and accreditation verification.</w:t>
      </w:r>
    </w:p>
    <w:p>
      <w:pPr>
        <w:pStyle w:val="ListBullet"/>
      </w:pPr>
      <w:r>
        <w:t>Project detail pages with full financial modeling.</w:t>
      </w:r>
    </w:p>
    <w:p>
      <w:pPr>
        <w:pStyle w:val="ListBullet"/>
      </w:pPr>
      <w:r>
        <w:t>Cap table / token registry (database-first, blockchain-optional).</w:t>
      </w:r>
    </w:p>
    <w:p>
      <w:pPr>
        <w:pStyle w:val="ListBullet"/>
      </w:pPr>
      <w:r>
        <w:t>No live secondary trading.</w:t>
      </w:r>
    </w:p>
    <w:p>
      <w:pPr>
        <w:pStyle w:val="ListBullet"/>
      </w:pPr>
      <w:r>
        <w:t>BD partnership and transfer agent integration initiated.</w:t>
      </w:r>
    </w:p>
    <w:p>
      <w:pPr>
        <w:pStyle w:val="ListBullet"/>
      </w:pPr>
      <w:r>
        <w:t>Securities counsel retained and first PPM drafted.</w:t>
      </w:r>
    </w:p>
    <w:p>
      <w:pPr>
        <w:pStyle w:val="Heading2"/>
      </w:pPr>
      <w:r>
        <w:t>Phase 2: Infrastructure</w:t>
      </w:r>
    </w:p>
    <w:p>
      <w:r>
        <w:rPr>
          <w:b/>
        </w:rPr>
        <w:t xml:space="preserve">Focus: </w:t>
      </w:r>
      <w:r>
        <w:t>Real yield distribution and broadened access.</w:t>
      </w:r>
    </w:p>
    <w:p>
      <w:pPr>
        <w:pStyle w:val="ListBullet"/>
      </w:pPr>
      <w:r>
        <w:t>Live yield distribution from operating projects.</w:t>
      </w:r>
    </w:p>
    <w:p>
      <w:pPr>
        <w:pStyle w:val="ListBullet"/>
      </w:pPr>
      <w:r>
        <w:t>Transfer agent fully integrated.</w:t>
      </w:r>
    </w:p>
    <w:p>
      <w:pPr>
        <w:pStyle w:val="ListBullet"/>
      </w:pPr>
      <w:r>
        <w:t>Custodian integration.</w:t>
      </w:r>
    </w:p>
    <w:p>
      <w:pPr>
        <w:pStyle w:val="ListBullet"/>
      </w:pPr>
      <w:r>
        <w:t>Structured SPV offerings at scale.</w:t>
      </w:r>
    </w:p>
    <w:p>
      <w:pPr>
        <w:pStyle w:val="ListBullet"/>
      </w:pPr>
      <w:r>
        <w:t>Reg CF pathway opened (requires funding portal / BD partnership).</w:t>
      </w:r>
    </w:p>
    <w:p>
      <w:pPr>
        <w:pStyle w:val="ListBullet"/>
      </w:pPr>
      <w:r>
        <w:t>Parallel offering structure (Reg D + Reg CF on same project).</w:t>
      </w:r>
    </w:p>
    <w:p>
      <w:pPr>
        <w:pStyle w:val="Heading2"/>
      </w:pPr>
      <w:r>
        <w:t>Phase 3: Marketplace</w:t>
      </w:r>
    </w:p>
    <w:p>
      <w:r>
        <w:rPr>
          <w:b/>
        </w:rPr>
        <w:t xml:space="preserve">Focus: </w:t>
      </w:r>
      <w:r>
        <w:t>Secondary liquidity and retail access.</w:t>
      </w:r>
    </w:p>
    <w:p>
      <w:pPr>
        <w:pStyle w:val="ListBullet"/>
      </w:pPr>
      <w:r>
        <w:t>ATS integration or licensing for secondary trading.</w:t>
      </w:r>
    </w:p>
    <w:p>
      <w:pPr>
        <w:pStyle w:val="ListBullet"/>
      </w:pPr>
      <w:r>
        <w:t>Compliant secondary marketplace.</w:t>
      </w:r>
    </w:p>
    <w:p>
      <w:pPr>
        <w:pStyle w:val="ListBullet"/>
      </w:pPr>
      <w:r>
        <w:t>Non-accredited investor access via Reg CF / Reg A+.</w:t>
      </w:r>
    </w:p>
    <w:p>
      <w:pPr>
        <w:pStyle w:val="ListBullet"/>
      </w:pPr>
      <w:r>
        <w:t>Expanded asset types beyond solar.</w:t>
      </w:r>
    </w:p>
    <w:p>
      <w:pPr>
        <w:pStyle w:val="ListBullet"/>
      </w:pPr>
      <w:r>
        <w:t>Earn the "marketplace" positioning.</w:t>
      </w:r>
    </w:p>
    <w:p>
      <w:r>
        <w:br w:type="page"/>
      </w:r>
    </w:p>
    <w:p>
      <w:pPr>
        <w:pStyle w:val="Heading1"/>
      </w:pPr>
      <w:r>
        <w:t>13. 90-Day Action Plan</w:t>
      </w:r>
    </w:p>
    <w:p>
      <w:r>
        <w:t>Parallel execution across product, legal, network, and supply tracks.</w:t>
      </w:r>
    </w:p>
    <w:p>
      <w:pPr>
        <w:pStyle w:val="Heading2"/>
      </w:pPr>
      <w:r>
        <w:t>Weeks 1–2: Foundation</w:t>
      </w:r>
    </w:p>
    <w:p>
      <w:r>
        <w:rPr>
          <w:b/>
        </w:rPr>
        <w:t xml:space="preserve">Legal: </w:t>
      </w:r>
      <w:r>
        <w:t>Begin securities counsel search. Budget $15K–$30K. Initiate USPTO trademark search for EcoXchange.</w:t>
      </w:r>
    </w:p>
    <w:p>
      <w:r>
        <w:rPr>
          <w:b/>
        </w:rPr>
        <w:t xml:space="preserve">Product: </w:t>
      </w:r>
      <w:r>
        <w:t>Migrate from Replit to custom domain with production hosting (Vercel, AWS, or Railway). Update app title and positioning language.</w:t>
      </w:r>
    </w:p>
    <w:p>
      <w:r>
        <w:rPr>
          <w:b/>
        </w:rPr>
        <w:t xml:space="preserve">Network: </w:t>
      </w:r>
      <w:r>
        <w:t>Activate LinkedIn. First 2–3 posts about the renewable energy capital gap. Reach out to potential advisors for introductory conversations (not asks).</w:t>
      </w:r>
    </w:p>
    <w:p>
      <w:r>
        <w:rPr>
          <w:b/>
        </w:rPr>
        <w:t xml:space="preserve">Supply: </w:t>
      </w:r>
      <w:r>
        <w:t>Re-engage BLM contacts — not to pitch, but to ask: "Who are the developers in your region with permitted projects that lost funding?" Draft re-engagement message to existing developer contact, leading with their pain point.</w:t>
      </w:r>
    </w:p>
    <w:p>
      <w:r>
        <w:rPr>
          <w:b/>
        </w:rPr>
        <w:t xml:space="preserve">Licensure: </w:t>
      </w:r>
      <w:r>
        <w:t>Continue SIE and Series 63 study. Target exam scheduling.</w:t>
      </w:r>
    </w:p>
    <w:p>
      <w:pPr>
        <w:pStyle w:val="Heading2"/>
      </w:pPr>
      <w:r>
        <w:t>Weeks 3–4: Build</w:t>
      </w:r>
    </w:p>
    <w:p>
      <w:r>
        <w:rPr>
          <w:b/>
        </w:rPr>
        <w:t xml:space="preserve">Legal: </w:t>
      </w:r>
      <w:r>
        <w:t>Retain securities counsel. Begin SPV template and PPM drafting process.</w:t>
      </w:r>
    </w:p>
    <w:p>
      <w:r>
        <w:rPr>
          <w:b/>
        </w:rPr>
        <w:t xml:space="preserve">Product: </w:t>
      </w:r>
      <w:r>
        <w:t>Build or refine investor onboarding flow. Build one fully modeled project detail page (can use synthetic data). Yield simulation engine as demo centerpiece.</w:t>
      </w:r>
    </w:p>
    <w:p>
      <w:r>
        <w:rPr>
          <w:b/>
        </w:rPr>
        <w:t xml:space="preserve">Network: </w:t>
      </w:r>
      <w:r>
        <w:t>Consistent LinkedIn cadence (2–3 posts/week). Identify 2–3 events or communities to join. Formalize at least one advisory relationship.</w:t>
      </w:r>
    </w:p>
    <w:p>
      <w:r>
        <w:rPr>
          <w:b/>
        </w:rPr>
        <w:t xml:space="preserve">Supply: </w:t>
      </w:r>
      <w:r>
        <w:t>Begin outreach to solar developers impacted by federal funding cuts. Use content as inbound lead generation.</w:t>
      </w:r>
    </w:p>
    <w:p>
      <w:pPr>
        <w:pStyle w:val="Heading2"/>
      </w:pPr>
      <w:r>
        <w:t>Weeks 5–6: Connect</w:t>
      </w:r>
    </w:p>
    <w:p>
      <w:r>
        <w:rPr>
          <w:b/>
        </w:rPr>
        <w:t xml:space="preserve">Legal: </w:t>
      </w:r>
      <w:r>
        <w:t>SPV structure finalized. First PPM in draft. Form D filing process understood.</w:t>
      </w:r>
    </w:p>
    <w:p>
      <w:r>
        <w:rPr>
          <w:b/>
        </w:rPr>
        <w:t xml:space="preserve">Product: </w:t>
      </w:r>
      <w:r>
        <w:t>End-to-end demo flow: landing page → signup → KYC → project detail → invest → yield dashboard. Polish for investor / advisor demos. Record 2-minute Loom walkthrough.</w:t>
      </w:r>
    </w:p>
    <w:p>
      <w:r>
        <w:rPr>
          <w:b/>
        </w:rPr>
        <w:t xml:space="preserve">Network: </w:t>
      </w:r>
      <w:r>
        <w:t>Leverage advisor introductions to begin anchor investor conversations. Pitch: "co-build this asset class with us."</w:t>
      </w:r>
    </w:p>
    <w:p>
      <w:r>
        <w:rPr>
          <w:b/>
        </w:rPr>
        <w:t xml:space="preserve">Supply: </w:t>
      </w:r>
      <w:r>
        <w:t>Aim for at least one LOI or signed agreement with a project developer for pilot offering.</w:t>
      </w:r>
    </w:p>
    <w:p>
      <w:pPr>
        <w:pStyle w:val="Heading2"/>
      </w:pPr>
      <w:r>
        <w:t>Weeks 7–8: Launch Prep</w:t>
      </w:r>
    </w:p>
    <w:p>
      <w:r>
        <w:rPr>
          <w:b/>
        </w:rPr>
        <w:t xml:space="preserve">Product: </w:t>
      </w:r>
      <w:r>
        <w:t>Finalize pitch materials. Demo video complete.</w:t>
      </w:r>
    </w:p>
    <w:p>
      <w:r>
        <w:rPr>
          <w:b/>
        </w:rPr>
        <w:t xml:space="preserve">Network: </w:t>
      </w:r>
      <w:r>
        <w:t>Active anchor investor conversations. Advisory board forming.</w:t>
      </w:r>
    </w:p>
    <w:p>
      <w:r>
        <w:rPr>
          <w:b/>
        </w:rPr>
        <w:t xml:space="preserve">Supply: </w:t>
      </w:r>
      <w:r>
        <w:t>Pilot project financial model complete and integrated into platform demo.</w:t>
      </w:r>
    </w:p>
    <w:p>
      <w:r>
        <w:rPr>
          <w:b/>
        </w:rPr>
        <w:t xml:space="preserve">Milestone: </w:t>
      </w:r>
      <w:r>
        <w:t>Platform demo-ready for investors, advisors, and accelerator applications (YC or equivalent).</w:t>
      </w:r>
    </w:p>
    <w:p>
      <w:r>
        <w:br w:type="page"/>
      </w:r>
    </w:p>
    <w:p>
      <w:pPr>
        <w:pStyle w:val="Heading1"/>
      </w:pPr>
      <w:r>
        <w:t>14. Critical Dependencies &amp; Risks</w:t>
      </w:r>
    </w:p>
    <w:p>
      <w:pPr>
        <w:pStyle w:val="Heading2"/>
      </w:pPr>
      <w:r>
        <w:t>Must-Haves Before First Offering</w:t>
      </w:r>
    </w:p>
    <w:p>
      <w:pPr>
        <w:pStyle w:val="ListBullet"/>
      </w:pPr>
      <w:r>
        <w:t>Securities counsel retained and PPM drafted.</w:t>
      </w:r>
    </w:p>
    <w:p>
      <w:pPr>
        <w:pStyle w:val="ListBullet"/>
      </w:pPr>
      <w:r>
        <w:t>BD partnership in place (cannot facilitate securities transactions without one).</w:t>
      </w:r>
    </w:p>
    <w:p>
      <w:pPr>
        <w:pStyle w:val="ListBullet"/>
      </w:pPr>
      <w:r>
        <w:t>Transfer agent integration (official ownership records).</w:t>
      </w:r>
    </w:p>
    <w:p>
      <w:pPr>
        <w:pStyle w:val="ListBullet"/>
      </w:pPr>
      <w:r>
        <w:t>KYC/AML provider integrated (sandbox complete; production integration needed).</w:t>
      </w:r>
    </w:p>
    <w:p>
      <w:pPr>
        <w:pStyle w:val="ListBullet"/>
      </w:pPr>
      <w:r>
        <w:t>At least one project developer with signed LOI or agreement.</w:t>
      </w:r>
    </w:p>
    <w:p>
      <w:pPr>
        <w:pStyle w:val="ListBullet"/>
      </w:pPr>
      <w:r>
        <w:t>Trademark clearance or rename decision.</w:t>
      </w:r>
    </w:p>
    <w:p>
      <w:pPr>
        <w:pStyle w:val="ListBullet"/>
      </w:pPr>
      <w:r>
        <w:t>Custom domain and professional hosting (migration from Replit).</w:t>
      </w:r>
    </w:p>
    <w:p>
      <w:pPr>
        <w:pStyle w:val="Heading2"/>
      </w:pPr>
      <w:r>
        <w:t>Key Risks &amp; Mitigations</w:t>
      </w:r>
    </w:p>
    <w:tbl>
      <w:tblPr>
        <w:tblStyle w:val="LightGrid-Accent6"/>
        <w:tblW w:type="auto" w:w="0"/>
        <w:jc w:val="center"/>
        <w:tblLook w:firstColumn="1" w:firstRow="1" w:lastColumn="0" w:lastRow="0" w:noHBand="0" w:noVBand="1" w:val="04A0"/>
      </w:tblPr>
      <w:tblGrid>
        <w:gridCol w:w="3120"/>
        <w:gridCol w:w="3120"/>
        <w:gridCol w:w="3120"/>
      </w:tblGrid>
      <w:tr>
        <w:tc>
          <w:tcPr>
            <w:tcW w:type="dxa" w:w="3120"/>
          </w:tcPr>
          <w:p>
            <w:pPr>
              <w:jc w:val="left"/>
            </w:pPr>
            <w:r>
              <w:rPr>
                <w:rFonts w:ascii="Calibri" w:hAnsi="Calibri"/>
                <w:b/>
                <w:sz w:val="20"/>
              </w:rPr>
              <w:t>Risk</w:t>
            </w:r>
          </w:p>
        </w:tc>
        <w:tc>
          <w:tcPr>
            <w:tcW w:type="dxa" w:w="3120"/>
          </w:tcPr>
          <w:p>
            <w:pPr>
              <w:jc w:val="left"/>
            </w:pPr>
            <w:r>
              <w:rPr>
                <w:rFonts w:ascii="Calibri" w:hAnsi="Calibri"/>
                <w:b/>
                <w:sz w:val="20"/>
              </w:rPr>
              <w:t>Severity</w:t>
            </w:r>
          </w:p>
        </w:tc>
        <w:tc>
          <w:tcPr>
            <w:tcW w:type="dxa" w:w="3120"/>
          </w:tcPr>
          <w:p>
            <w:pPr>
              <w:jc w:val="left"/>
            </w:pPr>
            <w:r>
              <w:rPr>
                <w:rFonts w:ascii="Calibri" w:hAnsi="Calibri"/>
                <w:b/>
                <w:sz w:val="20"/>
              </w:rPr>
              <w:t>Mitigation</w:t>
            </w:r>
          </w:p>
        </w:tc>
      </w:tr>
      <w:tr>
        <w:tc>
          <w:tcPr>
            <w:tcW w:type="dxa" w:w="3120"/>
          </w:tcPr>
          <w:p>
            <w:r>
              <w:rPr>
                <w:rFonts w:ascii="Calibri" w:hAnsi="Calibri"/>
                <w:sz w:val="20"/>
              </w:rPr>
              <w:t>Cold start: No existing investor network</w:t>
            </w:r>
          </w:p>
        </w:tc>
        <w:tc>
          <w:tcPr>
            <w:tcW w:type="dxa" w:w="3120"/>
          </w:tcPr>
          <w:p>
            <w:r>
              <w:rPr>
                <w:rFonts w:ascii="Calibri" w:hAnsi="Calibri"/>
                <w:sz w:val="20"/>
              </w:rPr>
              <w:t>High</w:t>
            </w:r>
          </w:p>
        </w:tc>
        <w:tc>
          <w:tcPr>
            <w:tcW w:type="dxa" w:w="3120"/>
          </w:tcPr>
          <w:p>
            <w:r>
              <w:rPr>
                <w:rFonts w:ascii="Calibri" w:hAnsi="Calibri"/>
                <w:sz w:val="20"/>
              </w:rPr>
              <w:t>Advisor-first strategy, anchor investor approach, general solicitation via 506(c)</w:t>
            </w:r>
          </w:p>
        </w:tc>
      </w:tr>
      <w:tr>
        <w:tc>
          <w:tcPr>
            <w:tcW w:type="dxa" w:w="3120"/>
          </w:tcPr>
          <w:p>
            <w:r>
              <w:rPr>
                <w:rFonts w:ascii="Calibri" w:hAnsi="Calibri"/>
                <w:sz w:val="20"/>
              </w:rPr>
              <w:t>Regulatory complexity and cost</w:t>
            </w:r>
          </w:p>
        </w:tc>
        <w:tc>
          <w:tcPr>
            <w:tcW w:type="dxa" w:w="3120"/>
          </w:tcPr>
          <w:p>
            <w:r>
              <w:rPr>
                <w:rFonts w:ascii="Calibri" w:hAnsi="Calibri"/>
                <w:sz w:val="20"/>
              </w:rPr>
              <w:t>High</w:t>
            </w:r>
          </w:p>
        </w:tc>
        <w:tc>
          <w:tcPr>
            <w:tcW w:type="dxa" w:w="3120"/>
          </w:tcPr>
          <w:p>
            <w:r>
              <w:rPr>
                <w:rFonts w:ascii="Calibri" w:hAnsi="Calibri"/>
                <w:sz w:val="20"/>
              </w:rPr>
              <w:t>Phased approach, BD partnership model, founder licensure reduces dependency on external expertise</w:t>
            </w:r>
          </w:p>
        </w:tc>
      </w:tr>
      <w:tr>
        <w:tc>
          <w:tcPr>
            <w:tcW w:type="dxa" w:w="3120"/>
          </w:tcPr>
          <w:p>
            <w:r>
              <w:rPr>
                <w:rFonts w:ascii="Calibri" w:hAnsi="Calibri"/>
                <w:sz w:val="20"/>
              </w:rPr>
              <w:t>Supply concentration: Limited developer relationships</w:t>
            </w:r>
          </w:p>
        </w:tc>
        <w:tc>
          <w:tcPr>
            <w:tcW w:type="dxa" w:w="3120"/>
          </w:tcPr>
          <w:p>
            <w:r>
              <w:rPr>
                <w:rFonts w:ascii="Calibri" w:hAnsi="Calibri"/>
                <w:sz w:val="20"/>
              </w:rPr>
              <w:t>Medium</w:t>
            </w:r>
          </w:p>
        </w:tc>
        <w:tc>
          <w:tcPr>
            <w:tcW w:type="dxa" w:w="3120"/>
          </w:tcPr>
          <w:p>
            <w:r>
              <w:rPr>
                <w:rFonts w:ascii="Calibri" w:hAnsi="Calibri"/>
                <w:sz w:val="20"/>
              </w:rPr>
              <w:t>BLM contacts provide warm leads; active pipeline development targeting stranded Solar for All projects</w:t>
            </w:r>
          </w:p>
        </w:tc>
      </w:tr>
      <w:tr>
        <w:tc>
          <w:tcPr>
            <w:tcW w:type="dxa" w:w="3120"/>
          </w:tcPr>
          <w:p>
            <w:r>
              <w:rPr>
                <w:rFonts w:ascii="Calibri" w:hAnsi="Calibri"/>
                <w:sz w:val="20"/>
              </w:rPr>
              <w:t>Trademark conflict: UK "ecoXchange" company</w:t>
            </w:r>
          </w:p>
        </w:tc>
        <w:tc>
          <w:tcPr>
            <w:tcW w:type="dxa" w:w="3120"/>
          </w:tcPr>
          <w:p>
            <w:r>
              <w:rPr>
                <w:rFonts w:ascii="Calibri" w:hAnsi="Calibri"/>
                <w:sz w:val="20"/>
              </w:rPr>
              <w:t>Medium</w:t>
            </w:r>
          </w:p>
        </w:tc>
        <w:tc>
          <w:tcPr>
            <w:tcW w:type="dxa" w:w="3120"/>
          </w:tcPr>
          <w:p>
            <w:r>
              <w:rPr>
                <w:rFonts w:ascii="Calibri" w:hAnsi="Calibri"/>
                <w:sz w:val="20"/>
              </w:rPr>
              <w:t>Trademark search underway; willingness to rename if conflict confirmed</w:t>
            </w:r>
          </w:p>
        </w:tc>
      </w:tr>
      <w:tr>
        <w:tc>
          <w:tcPr>
            <w:tcW w:type="dxa" w:w="3120"/>
          </w:tcPr>
          <w:p>
            <w:r>
              <w:rPr>
                <w:rFonts w:ascii="Calibri" w:hAnsi="Calibri"/>
                <w:sz w:val="20"/>
              </w:rPr>
              <w:t>Funding: Counsel and compliance require capital</w:t>
            </w:r>
          </w:p>
        </w:tc>
        <w:tc>
          <w:tcPr>
            <w:tcW w:type="dxa" w:w="3120"/>
          </w:tcPr>
          <w:p>
            <w:r>
              <w:rPr>
                <w:rFonts w:ascii="Calibri" w:hAnsi="Calibri"/>
                <w:sz w:val="20"/>
              </w:rPr>
              <w:t>High</w:t>
            </w:r>
          </w:p>
        </w:tc>
        <w:tc>
          <w:tcPr>
            <w:tcW w:type="dxa" w:w="3120"/>
          </w:tcPr>
          <w:p>
            <w:r>
              <w:rPr>
                <w:rFonts w:ascii="Calibri" w:hAnsi="Calibri"/>
                <w:sz w:val="20"/>
              </w:rPr>
              <w:t>Pre-seed raise or founder funding needed; $15K–$30K minimum for initial legal work</w:t>
            </w:r>
          </w:p>
        </w:tc>
      </w:tr>
      <w:tr>
        <w:tc>
          <w:tcPr>
            <w:tcW w:type="dxa" w:w="3120"/>
          </w:tcPr>
          <w:p>
            <w:r>
              <w:rPr>
                <w:rFonts w:ascii="Calibri" w:hAnsi="Calibri"/>
                <w:sz w:val="20"/>
              </w:rPr>
              <w:t>Solo founder risk</w:t>
            </w:r>
          </w:p>
        </w:tc>
        <w:tc>
          <w:tcPr>
            <w:tcW w:type="dxa" w:w="3120"/>
          </w:tcPr>
          <w:p>
            <w:r>
              <w:rPr>
                <w:rFonts w:ascii="Calibri" w:hAnsi="Calibri"/>
                <w:sz w:val="20"/>
              </w:rPr>
              <w:t>Medium</w:t>
            </w:r>
          </w:p>
        </w:tc>
        <w:tc>
          <w:tcPr>
            <w:tcW w:type="dxa" w:w="3120"/>
          </w:tcPr>
          <w:p>
            <w:r>
              <w:rPr>
                <w:rFonts w:ascii="Calibri" w:hAnsi="Calibri"/>
                <w:sz w:val="20"/>
              </w:rPr>
              <w:t>Mitigated by working prototype, licensure pursuit, and clear hiring plan with pre-seed capital</w:t>
            </w:r>
          </w:p>
        </w:tc>
      </w:tr>
    </w:tbl>
    <w:p/>
    <w:p/>
    <w:p>
      <w:pPr>
        <w:jc w:val="center"/>
      </w:pPr>
      <w:r>
        <w:rPr>
          <w:i/>
          <w:color w:val="888888"/>
          <w:sz w:val="20"/>
        </w:rPr>
        <w:t>EcoXchange North Star Document v4.0</w:t>
      </w:r>
    </w:p>
    <w:p>
      <w:pPr>
        <w:jc w:val="center"/>
      </w:pPr>
      <w:r>
        <w:rPr>
          <w:i/>
          <w:color w:val="888888"/>
          <w:sz w:val="20"/>
        </w:rPr>
        <w:t>This document is a living strategy guide. Updated February 2026.</w:t>
      </w:r>
    </w:p>
    <w:p>
      <w:pPr>
        <w:jc w:val="center"/>
      </w:pPr>
      <w:r>
        <w:rPr>
          <w:i/>
          <w:color w:val="AA0000"/>
          <w:sz w:val="20"/>
        </w:rPr>
        <w:t>Confidential — Do not distribute without authorization.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D2D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B5E20"/>
      <w:sz w:val="40"/>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B5E2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B5E2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