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B365D"/>
          <w:sz w:val="52"/>
        </w:rPr>
        <w:t>Corporate Cybersecurity Framework</w:t>
      </w:r>
    </w:p>
    <w:p>
      <w:pPr>
        <w:spacing w:after="480"/>
      </w:pPr>
      <w:r>
        <w:rPr>
          <w:i/>
          <w:color w:val="4F6E8A"/>
          <w:sz w:val="26"/>
        </w:rPr>
        <w:t>Task 2: Cybersecurity Policy  |  Task 3: Risk Assessment Matrix</w:t>
      </w:r>
    </w:p>
    <w:p>
      <w:pPr>
        <w:spacing w:after="480"/>
        <w:pBdr>
          <w:bottom w:val="single" w:sz="6" w:space="1" w:color="1B365D"/>
        </w:pBdr>
      </w:pPr>
    </w:p>
    <w:p>
      <w:pPr>
        <w:keepNext/>
        <w:spacing w:before="240" w:after="240"/>
      </w:pPr>
      <w:r>
        <w:rPr>
          <w:b/>
          <w:color w:val="1B365D"/>
          <w:sz w:val="36"/>
        </w:rPr>
        <w:t>Task 2: Cybersecurity Policy</w:t>
      </w:r>
    </w:p>
    <w:p>
      <w:pPr>
        <w:spacing w:after="320" w:line="276" w:lineRule="auto"/>
      </w:pPr>
      <w:r>
        <w:t>This policy establishes the minimum security standards for all company information systems, devices, and personnel. Compliance is mandatory to safeguard organization data and infrastructure against evolving cyber threats.</w:t>
      </w:r>
    </w:p>
    <w:p>
      <w:pPr>
        <w:keepNext/>
        <w:spacing w:before="280" w:after="120"/>
      </w:pPr>
      <w:r>
        <w:rPr>
          <w:b/>
          <w:color w:val="4F6E8A"/>
          <w:sz w:val="26"/>
        </w:rPr>
        <w:t>1. Password Complexity Requirements</w:t>
      </w:r>
    </w:p>
    <w:p>
      <w:pPr>
        <w:spacing w:line="276" w:lineRule="auto" w:after="120"/>
      </w:pPr>
      <w:r>
        <w:t>To prevent brute-force attacks and unauthorized access, all user accounts must adhere to strict complexity standards:</w:t>
      </w:r>
    </w:p>
    <w:p>
      <w:pPr>
        <w:spacing w:line="276" w:lineRule="auto" w:after="60"/>
        <w:ind w:left="360"/>
      </w:pPr>
      <w:r>
        <w:t>• Minimum Length: Passwords must be at least 14 characters long.</w:t>
      </w:r>
    </w:p>
    <w:p>
      <w:pPr>
        <w:spacing w:line="276" w:lineRule="auto" w:after="60"/>
        <w:ind w:left="360"/>
      </w:pPr>
      <w:r>
        <w:t>• Character Variety: Must include at least three of the following four categories: Uppercase letters (A-Z), Lowercase letters (a-z), Numbers (0-9), and Special characters (e.g., !, @, #, $, %, ^, *).</w:t>
      </w:r>
    </w:p>
    <w:p>
      <w:pPr>
        <w:spacing w:line="276" w:lineRule="auto" w:after="60"/>
        <w:ind w:left="360"/>
      </w:pPr>
      <w:r>
        <w:t>• Expiration &amp; Reuse: Passwords do not expire automatically unless a breach is suspected (aligned with modern NIST guidelines), but the system will block the reuse of the last 5 history passwords.</w:t>
      </w:r>
    </w:p>
    <w:p>
      <w:pPr>
        <w:spacing w:line="276" w:lineRule="auto" w:after="60"/>
        <w:ind w:left="360"/>
      </w:pPr>
      <w:r>
        <w:t>• Prohibited Items: Passwords cannot contain the user’s account name, real name, or easily guessable dictionary words (e.g., 'Password123').</w:t>
      </w:r>
    </w:p>
    <w:p>
      <w:pPr>
        <w:keepNext/>
        <w:spacing w:before="280" w:after="120"/>
      </w:pPr>
      <w:r>
        <w:rPr>
          <w:b/>
          <w:color w:val="4F6E8A"/>
          <w:sz w:val="26"/>
        </w:rPr>
        <w:t>2. Multi-Factor Authentication (MFA)</w:t>
      </w:r>
    </w:p>
    <w:p>
      <w:pPr>
        <w:spacing w:line="276" w:lineRule="auto" w:after="120"/>
      </w:pPr>
      <w:r>
        <w:t>MFA adds a critical layer of defense beyond standard credentials.</w:t>
      </w:r>
    </w:p>
    <w:p>
      <w:pPr>
        <w:spacing w:line="276" w:lineRule="auto" w:after="60"/>
        <w:ind w:left="360"/>
      </w:pPr>
      <w:r>
        <w:t>• Mandatory Enforcement: MFA is required for all employees accessing corporate systems, including email, VPNs, cloud applications (e.g., Microsoft 365, AWS), and HR portals.</w:t>
      </w:r>
    </w:p>
    <w:p>
      <w:pPr>
        <w:spacing w:line="276" w:lineRule="auto" w:after="60"/>
        <w:ind w:left="360"/>
      </w:pPr>
      <w:r>
        <w:t>• Approved Factors: Authentication must utilize an approved authenticator app (e.g., Microsoft Authenticator, Google Authenticator) via push notifications or Time-based One-Time Passwords (TOTP).</w:t>
      </w:r>
    </w:p>
    <w:p>
      <w:pPr>
        <w:spacing w:line="276" w:lineRule="auto" w:after="60"/>
        <w:ind w:left="360"/>
      </w:pPr>
      <w:r>
        <w:t>• Disallowed Methods: SMS and voice-call authentication are strictly prohibited due to SIM-swapping vulnerabilities, unless explicitly approved by the IT Security team as a temporary fallback.</w:t>
      </w:r>
    </w:p>
    <w:p>
      <w:pPr>
        <w:keepNext/>
        <w:spacing w:before="280" w:after="120"/>
      </w:pPr>
      <w:r>
        <w:rPr>
          <w:b/>
          <w:color w:val="4F6E8A"/>
          <w:sz w:val="26"/>
        </w:rPr>
        <w:t>3. Device Encryption</w:t>
      </w:r>
    </w:p>
    <w:p>
      <w:pPr>
        <w:spacing w:line="276" w:lineRule="auto" w:after="120"/>
      </w:pPr>
      <w:r>
        <w:t>Data-at-rest must be protected against physical theft or loss of hardware.</w:t>
      </w:r>
    </w:p>
    <w:p>
      <w:pPr>
        <w:spacing w:line="276" w:lineRule="auto" w:after="60"/>
        <w:ind w:left="360"/>
      </w:pPr>
      <w:r>
        <w:t>• Full Disk Encryption (FDE): All corporate-issued endpoints (laptops, desktops, smartphones) must have full disk encryption enabled.</w:t>
      </w:r>
    </w:p>
    <w:p>
      <w:pPr>
        <w:spacing w:line="276" w:lineRule="auto" w:after="60"/>
        <w:ind w:left="360"/>
      </w:pPr>
      <w:r>
        <w:t xml:space="preserve">  - Windows Devices: Must utilize BitLocker with a minimum of AES-256 bit encryption.</w:t>
      </w:r>
    </w:p>
    <w:p>
      <w:pPr>
        <w:spacing w:line="276" w:lineRule="auto" w:after="60"/>
        <w:ind w:left="360"/>
      </w:pPr>
      <w:r>
        <w:t xml:space="preserve">  - macOS Devices: Must utilize FileVault 2.</w:t>
      </w:r>
    </w:p>
    <w:p>
      <w:pPr>
        <w:spacing w:line="276" w:lineRule="auto" w:after="60"/>
        <w:ind w:left="360"/>
      </w:pPr>
      <w:r>
        <w:t>• Key Management: Encryption recovery keys must be securely escrowed and managed centrally by the IT department; users are prohibited from modifying encryption settings.</w:t>
      </w:r>
    </w:p>
    <w:p>
      <w:pPr>
        <w:keepNext/>
        <w:spacing w:before="280" w:after="120"/>
      </w:pPr>
      <w:r>
        <w:rPr>
          <w:b/>
          <w:color w:val="4F6E8A"/>
          <w:sz w:val="26"/>
        </w:rPr>
        <w:t>4. Antivirus &amp; Endpoint Detection and Response (EDR) Standards</w:t>
      </w:r>
    </w:p>
    <w:p>
      <w:pPr>
        <w:spacing w:line="276" w:lineRule="auto" w:after="120"/>
      </w:pPr>
      <w:r>
        <w:t>Continuous monitoring and malware prevention must be maintained on all endpoints.</w:t>
      </w:r>
    </w:p>
    <w:p>
      <w:pPr>
        <w:spacing w:line="276" w:lineRule="auto" w:after="60"/>
        <w:ind w:left="360"/>
      </w:pPr>
      <w:r>
        <w:t>• Deployment: Every endpoint must run the centralized corporate EDR/Antivirus solution (e.g., Microsoft Defender for Endpoint).</w:t>
      </w:r>
    </w:p>
    <w:p>
      <w:pPr>
        <w:spacing w:line="276" w:lineRule="auto" w:after="60"/>
        <w:ind w:left="360"/>
      </w:pPr>
      <w:r>
        <w:t>• Configuration: Real-time scanning and behavioral analysis must remain active at all times. Definition updates must occur automatically at least once every 24 hours.</w:t>
      </w:r>
    </w:p>
    <w:p>
      <w:pPr>
        <w:spacing w:line="276" w:lineRule="auto" w:after="60"/>
        <w:ind w:left="360"/>
      </w:pPr>
      <w:r>
        <w:t>• Tamper Protection: Users are strictly barred from disabling, pausing, or uninstalling security software. Any alert generated will automatically log to the central Security Operations Center (SOC).</w:t>
      </w:r>
    </w:p>
    <w:p>
      <w:pPr>
        <w:keepNext/>
        <w:spacing w:before="280" w:after="120"/>
      </w:pPr>
      <w:r>
        <w:rPr>
          <w:b/>
          <w:color w:val="4F6E8A"/>
          <w:sz w:val="26"/>
        </w:rPr>
        <w:t>5. Patch Management</w:t>
      </w:r>
    </w:p>
    <w:p>
      <w:pPr>
        <w:spacing w:line="276" w:lineRule="auto" w:after="120"/>
      </w:pPr>
      <w:r>
        <w:t>Software vulnerabilities must be mitigated swiftly to prevent exploitation.</w:t>
      </w:r>
    </w:p>
    <w:p>
      <w:pPr>
        <w:spacing w:line="276" w:lineRule="auto" w:after="60"/>
        <w:ind w:left="360"/>
      </w:pPr>
      <w:r>
        <w:t>• Automated Updates: Operating systems and third-party applications (browsers, productivity suites) must be enrolled in automated patch management cycles.</w:t>
      </w:r>
    </w:p>
    <w:p>
      <w:pPr>
        <w:spacing w:line="276" w:lineRule="auto" w:after="60"/>
        <w:ind w:left="360"/>
      </w:pPr>
      <w:r>
        <w:t>• Deployment Timelines: Patches will be deployed based on severity rankings:</w:t>
      </w:r>
    </w:p>
    <w:p>
      <w:pPr>
        <w:spacing w:line="276" w:lineRule="auto" w:after="60"/>
        <w:ind w:left="360"/>
      </w:pPr>
      <w:r>
        <w:t xml:space="preserve">  - Critical/Zero-Day Vulnerabilities: Patched within 48 hours of release.</w:t>
      </w:r>
    </w:p>
    <w:p>
      <w:pPr>
        <w:spacing w:line="276" w:lineRule="auto" w:after="60"/>
        <w:ind w:left="360"/>
      </w:pPr>
      <w:r>
        <w:t xml:space="preserve">  - High Severity: Patched within 14 days of release.</w:t>
      </w:r>
    </w:p>
    <w:p>
      <w:pPr>
        <w:spacing w:line="276" w:lineRule="auto" w:after="60"/>
        <w:ind w:left="360"/>
      </w:pPr>
      <w:r>
        <w:t xml:space="preserve">  - Medium/Low Severity: Patched within the standard monthly maintenance window (30 days).</w:t>
      </w:r>
    </w:p>
    <w:p>
      <w:pPr>
        <w:spacing w:line="276" w:lineRule="auto" w:after="60"/>
        <w:ind w:left="360"/>
      </w:pPr>
      <w:r>
        <w:t>• Reboot Policy: If a patch requires a system restart, users will receive a maximum 72-hour deferral window before a forced reboot occurs.</w:t>
      </w:r>
    </w:p>
    <w:p>
      <w:pPr>
        <w:keepNext/>
        <w:spacing w:before="280" w:after="120"/>
      </w:pPr>
      <w:r>
        <w:rPr>
          <w:b/>
          <w:color w:val="4F6E8A"/>
          <w:sz w:val="26"/>
        </w:rPr>
        <w:t>6. Acceptable Use Policy (AUP)</w:t>
      </w:r>
    </w:p>
    <w:p>
      <w:pPr>
        <w:spacing w:line="276" w:lineRule="auto" w:after="120"/>
      </w:pPr>
      <w:r>
        <w:t>Employees must utilize corporate technology resources responsibly, ethically, and legally.</w:t>
      </w:r>
    </w:p>
    <w:p>
      <w:pPr>
        <w:spacing w:line="276" w:lineRule="auto" w:after="60"/>
        <w:ind w:left="360"/>
      </w:pPr>
      <w:r>
        <w:t>• Business Resource Only: Company systems, networks, and devices are provided primarily for business purposes. Incidental personal use is permitted if it does not interfere with productivity or compromise security.</w:t>
      </w:r>
    </w:p>
    <w:p>
      <w:pPr>
        <w:spacing w:line="276" w:lineRule="auto" w:after="60"/>
        <w:ind w:left="360"/>
      </w:pPr>
      <w:r>
        <w:t>• Prohibited Activities: Employees shall not use corporate assets to access, download, or distribute pornographic, hate speech, or illegal material; engage in gambling, torrenting, or unauthorized file-sharing; or install unapproved third-party software or shadow IT applications.</w:t>
      </w:r>
    </w:p>
    <w:p>
      <w:pPr>
        <w:spacing w:line="276" w:lineRule="auto" w:after="60"/>
        <w:ind w:left="360"/>
      </w:pPr>
      <w:r>
        <w:t>• Reporting Obligation: Employees must immediately report any suspected security incidents, lost devices, or phishing attempts to the IT Helpdesk.</w:t>
      </w:r>
    </w:p>
    <w:p>
      <w:r>
        <w:br w:type="page"/>
      </w:r>
    </w:p>
    <w:p>
      <w:pPr>
        <w:keepNext/>
        <w:spacing w:before="240" w:after="240"/>
      </w:pPr>
      <w:r>
        <w:rPr>
          <w:b/>
          <w:color w:val="1B365D"/>
          <w:sz w:val="36"/>
        </w:rPr>
        <w:t>Task 3: Risk Assessment Matrix</w:t>
      </w:r>
    </w:p>
    <w:p>
      <w:pPr>
        <w:spacing w:after="320"/>
      </w:pPr>
      <w:r>
        <w:t>The following matrix identifies core operational risks, assesses their likelihood and impact, and outlines specific mitigation controls, informed by standards from Microsoft Learn, CompTIA Security+, and Google IT Support Frameworks.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Risk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Likelihood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Impact</w:t>
            </w:r>
          </w:p>
        </w:tc>
        <w:tc>
          <w:tcPr>
            <w:tcW w:type="dxa" w:w="43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Mitigation Controls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left"/>
            </w:pPr>
            <w:r>
              <w:rPr>
                <w:b/>
                <w:sz w:val="20"/>
              </w:rPr>
              <w:t>Phishing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center"/>
            </w:pPr>
            <w:r>
              <w:rPr>
                <w:b/>
                <w:color w:val="B42828"/>
                <w:sz w:val="20"/>
              </w:rPr>
              <w:t>High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center"/>
            </w:pPr>
            <w:r>
              <w:rPr>
                <w:b/>
                <w:color w:val="B42828"/>
                <w:sz w:val="20"/>
              </w:rPr>
              <w:t>High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left"/>
            </w:pPr>
            <w:r>
              <w:rPr>
                <w:sz w:val="20"/>
              </w:rPr>
              <w:t>Ongoing security awareness training; annual phishing simulations; robust email filtering gateways (DMARC/DKIM/SPF enforcement).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left"/>
            </w:pPr>
            <w:r>
              <w:rPr>
                <w:b/>
                <w:sz w:val="20"/>
              </w:rPr>
              <w:t>Ransomware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center"/>
            </w:pPr>
            <w:r>
              <w:rPr>
                <w:b/>
                <w:color w:val="C87800"/>
                <w:sz w:val="20"/>
              </w:rPr>
              <w:t>Medium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center"/>
            </w:pPr>
            <w:r>
              <w:rPr>
                <w:b/>
                <w:color w:val="B42828"/>
                <w:sz w:val="20"/>
              </w:rPr>
              <w:t>High</w:t>
            </w:r>
          </w:p>
        </w:tc>
        <w:tc>
          <w:tcPr>
            <w:tcW w:type="dxa" w:w="43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left"/>
            </w:pPr>
            <w:r>
              <w:rPr>
                <w:sz w:val="20"/>
              </w:rPr>
              <w:t>Implementation of localized EDR; strict network segmentation; automated, immutable, and offsite (3-2-1 rule) backup strategies.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left"/>
            </w:pPr>
            <w:r>
              <w:rPr>
                <w:b/>
                <w:sz w:val="20"/>
              </w:rPr>
              <w:t>Hardware Failure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center"/>
            </w:pPr>
            <w:r>
              <w:rPr>
                <w:b/>
                <w:color w:val="C87800"/>
                <w:sz w:val="20"/>
              </w:rPr>
              <w:t>Medium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center"/>
            </w:pPr>
            <w:r>
              <w:rPr>
                <w:b/>
                <w:color w:val="C87800"/>
                <w:sz w:val="20"/>
              </w:rPr>
              <w:t>Medium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left"/>
            </w:pPr>
            <w:r>
              <w:rPr>
                <w:sz w:val="20"/>
              </w:rPr>
              <w:t>Server and storage redundancy (RAID configurations); maintaining on-site spare hardware; documented hardware lifecycle replacement plans.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left"/>
            </w:pPr>
            <w:r>
              <w:rPr>
                <w:b/>
                <w:sz w:val="20"/>
              </w:rPr>
              <w:t>Power Outage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center"/>
            </w:pPr>
            <w:r>
              <w:rPr>
                <w:b/>
                <w:color w:val="C87800"/>
                <w:sz w:val="20"/>
              </w:rPr>
              <w:t>Medium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center"/>
            </w:pPr>
            <w:r>
              <w:rPr>
                <w:b/>
                <w:color w:val="B42828"/>
                <w:sz w:val="20"/>
              </w:rPr>
              <w:t>High</w:t>
            </w:r>
          </w:p>
        </w:tc>
        <w:tc>
          <w:tcPr>
            <w:tcW w:type="dxa" w:w="43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left"/>
            </w:pPr>
            <w:r>
              <w:rPr>
                <w:sz w:val="20"/>
              </w:rPr>
              <w:t>Uninterruptible Power Supplies (UPS) for localized servers/networking gear; automated backup generators for critical data centers; migration of core infrastructure to the cloud.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left"/>
            </w:pPr>
            <w:r>
              <w:rPr>
                <w:b/>
                <w:sz w:val="20"/>
              </w:rPr>
              <w:t>Data Leakage (Insider Threat)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center"/>
            </w:pPr>
            <w:r>
              <w:rPr>
                <w:b/>
                <w:color w:val="C87800"/>
                <w:sz w:val="20"/>
              </w:rPr>
              <w:t>Medium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center"/>
            </w:pPr>
            <w:r>
              <w:rPr>
                <w:b/>
                <w:color w:val="B42828"/>
                <w:sz w:val="20"/>
              </w:rPr>
              <w:t>High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left"/>
            </w:pPr>
            <w:r>
              <w:rPr>
                <w:sz w:val="20"/>
              </w:rPr>
              <w:t>Implementation of Data Loss Prevention (DLP) software; strict role-based access control (RBAC); principle of least privilege enforcement.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left"/>
            </w:pPr>
            <w:r>
              <w:rPr>
                <w:b/>
                <w:sz w:val="20"/>
              </w:rPr>
              <w:t>Unpatched Vulnerabilities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center"/>
            </w:pPr>
            <w:r>
              <w:rPr>
                <w:b/>
                <w:color w:val="B42828"/>
                <w:sz w:val="20"/>
              </w:rPr>
              <w:t>High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center"/>
            </w:pPr>
            <w:r>
              <w:rPr>
                <w:b/>
                <w:color w:val="C87800"/>
                <w:sz w:val="20"/>
              </w:rPr>
              <w:t>Medium</w:t>
            </w:r>
          </w:p>
        </w:tc>
        <w:tc>
          <w:tcPr>
            <w:tcW w:type="dxa" w:w="43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  <w:insideH w:val="none"/>
              <w:insideV w:val="none"/>
            </w:tcBorders>
          </w:tcPr>
          <w:p>
            <w:pPr>
              <w:spacing w:line="264" w:lineRule="auto"/>
              <w:jc w:val="left"/>
            </w:pPr>
            <w:r>
              <w:rPr>
                <w:sz w:val="20"/>
              </w:rPr>
              <w:t>Routine vulnerability scanning; strict adherence to the patch management policy timelines; automated asset management discovery.</w:t>
            </w:r>
          </w:p>
        </w:tc>
      </w:tr>
    </w:tbl>
    <w:p>
      <w:pPr>
        <w:spacing w:before="480"/>
      </w:pPr>
    </w:p>
    <w:p>
      <w:pPr>
        <w:keepNext/>
        <w:spacing w:before="280" w:after="120"/>
      </w:pPr>
      <w:r>
        <w:rPr>
          <w:b/>
          <w:color w:val="4F6E8A"/>
          <w:sz w:val="26"/>
        </w:rPr>
        <w:t>References &amp; Framework Resources</w:t>
      </w:r>
    </w:p>
    <w:p>
      <w:pPr>
        <w:spacing w:after="80"/>
        <w:ind w:left="360"/>
      </w:pPr>
      <w:r>
        <w:rPr>
          <w:color w:val="333333"/>
          <w:sz w:val="20"/>
        </w:rPr>
        <w:t>• Microsoft Learn – Enterprise Security Architectures and Blueprint Foundations</w:t>
      </w:r>
    </w:p>
    <w:p>
      <w:pPr>
        <w:spacing w:after="80"/>
        <w:ind w:left="360"/>
      </w:pPr>
      <w:r>
        <w:rPr>
          <w:color w:val="333333"/>
          <w:sz w:val="20"/>
        </w:rPr>
        <w:t>• CompTIA Security+ – Domain 1.0 (Threats, Attacks, and Vulnerabilities) &amp; Domain 5.0 (Governance, Risk, and Compliance)</w:t>
      </w:r>
    </w:p>
    <w:p>
      <w:pPr>
        <w:spacing w:after="80"/>
        <w:ind w:left="360"/>
      </w:pPr>
      <w:r>
        <w:rPr>
          <w:color w:val="333333"/>
          <w:sz w:val="20"/>
        </w:rPr>
        <w:t>• Google IT Support Professional Certificate – Bits and Bytes of Networking &amp; IT Security: Defense against the digital dark arts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