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F4D78"/>
          <w:sz w:val="40"/>
        </w:rPr>
        <w:t>수도권 여행객의 여행 복잡도 기반</w:t>
      </w:r>
    </w:p>
    <w:p>
      <w:pPr>
        <w:spacing w:after="140"/>
      </w:pPr>
      <w:r>
        <w:rPr>
          <w:rFonts w:ascii="Arial" w:hAnsi="Arial"/>
          <w:b/>
          <w:color w:val="1F4D78"/>
          <w:sz w:val="40"/>
        </w:rPr>
        <w:t>NOL 통합 예약 패키지 수요 분석 기획서</w:t>
      </w:r>
    </w:p>
    <w:p>
      <w:pPr>
        <w:spacing w:after="140"/>
      </w:pPr>
      <w:r>
        <w:rPr>
          <w:rFonts w:ascii="Arial" w:hAnsi="Arial"/>
          <w:b w:val="0"/>
          <w:color w:val="5B6573"/>
          <w:sz w:val="21"/>
        </w:rPr>
        <w:t>목적: 복잡한 여행을 먼저 식별해 숙소·교통·티켓·레저를 한 번에 예약할 통합 패키지의 우선 타깃을 제안한다.</w:t>
      </w:r>
    </w:p>
    <w:p>
      <w:pPr>
        <w:spacing w:before="160" w:after="60"/>
      </w:pPr>
      <w:r>
        <w:rPr>
          <w:rFonts w:ascii="Arial" w:hAnsi="Arial"/>
          <w:b/>
          <w:color w:val="2E74B5"/>
          <w:sz w:val="24"/>
        </w:rPr>
        <w:t>1. 추진 배경</w:t>
      </w:r>
    </w:p>
    <w:p>
      <w:pPr>
        <w:spacing w:after="80" w:line="264" w:lineRule="auto"/>
      </w:pPr>
      <w:r>
        <w:rPr>
          <w:rFonts w:ascii="Arial" w:hAnsi="Arial"/>
          <w:b w:val="0"/>
          <w:color w:val="000000"/>
          <w:sz w:val="21"/>
        </w:rPr>
        <w:t>놀유니버스는 2026년 9월 NOL 인터파크투어와 NOL 티켓을 NOL로 통합하고, 이후 트리플도 순차 결합하겠다고 발표했다. 상품이 한 플랫폼에서 연결되는 만큼, NOL은 모든 고객이 아닌 ‘통합 예약의 효용이 큰 여행’을 우선 공략할 필요가 있다.</w:t>
      </w:r>
    </w:p>
    <w:p>
      <w:pPr>
        <w:spacing w:after="80"/>
      </w:pPr>
      <w:r>
        <w:rPr>
          <w:rFonts w:ascii="Arial" w:hAnsi="Arial"/>
          <w:b w:val="0"/>
          <w:color w:val="5B6573"/>
          <w:sz w:val="17"/>
        </w:rPr>
        <w:t>근거: 놀유니버스 공식 뉴스룸(2026.06.12), ‘NOL 여행·여가·문화 플랫폼 하나로’</w:t>
      </w:r>
    </w:p>
    <w:p>
      <w:pPr>
        <w:spacing w:before="160" w:after="60"/>
      </w:pPr>
      <w:r>
        <w:rPr>
          <w:rFonts w:ascii="Arial" w:hAnsi="Arial"/>
          <w:b/>
          <w:color w:val="2E74B5"/>
          <w:sz w:val="24"/>
        </w:rPr>
        <w:t>2. 분석 데이터 및 핵심 변수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150"/>
        <w:gridCol w:w="3560"/>
      </w:tblGrid>
      <w:t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분석 영역</w:t>
            </w:r>
          </w:p>
        </w:tc>
        <w:tc>
          <w:tcPr>
            <w:tcW w:type="dxa" w:w="4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주요 컬럼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분석 목적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여행 구조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TRAVEL_ID, 시작·종료일, 여행 목적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여행기간 및 기본 여행유형 분류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동행·이동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동반자 정보, 출발지·도착지, 이동수단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동행 규모와 이동 복잡도 산출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방문·활동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방문 순서, 방문지명, 시군구, 유형, 활동유형, 사진 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동선 다양성 및 여행 경험 밀도 산출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여행 규모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사전·숙박·이동·활동 소비의 결제일·금액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총지출·사전준비 시점 보조 비교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2E74B5"/>
          <w:sz w:val="24"/>
        </w:rPr>
        <w:t>3. 핵심 분석 및 제안 방향</w:t>
      </w:r>
    </w:p>
    <w:p>
      <w:pPr>
        <w:spacing w:after="60" w:line="254" w:lineRule="auto"/>
        <w:ind w:left="72" w:hanging="72"/>
      </w:pPr>
      <w:r>
        <w:rPr>
          <w:rFonts w:ascii="Arial" w:hAnsi="Arial"/>
          <w:b/>
          <w:color w:val="1F4D78"/>
          <w:sz w:val="20"/>
        </w:rPr>
        <w:t xml:space="preserve">여행 복잡도 점수 - </w:t>
      </w:r>
      <w:r>
        <w:rPr>
          <w:rFonts w:ascii="Arial" w:hAnsi="Arial"/>
          <w:b w:val="0"/>
          <w:color w:val="000000"/>
          <w:sz w:val="20"/>
        </w:rPr>
        <w:t>여행기간, 동행자 수, 방문지·시군구 수, 이동 수·이동수단 수, 활동 수를 결합해 여행별 예약·준비 부담을 수치화한다.</w:t>
      </w:r>
    </w:p>
    <w:p>
      <w:pPr>
        <w:spacing w:after="60" w:line="254" w:lineRule="auto"/>
        <w:ind w:left="72" w:hanging="72"/>
      </w:pPr>
      <w:r>
        <w:rPr>
          <w:rFonts w:ascii="Arial" w:hAnsi="Arial"/>
          <w:b/>
          <w:color w:val="1F4D78"/>
          <w:sz w:val="20"/>
        </w:rPr>
        <w:t xml:space="preserve">고복잡도 여행 세그먼트 - </w:t>
      </w:r>
      <w:r>
        <w:rPr>
          <w:rFonts w:ascii="Arial" w:hAnsi="Arial"/>
          <w:b w:val="0"/>
          <w:color w:val="000000"/>
          <w:sz w:val="20"/>
        </w:rPr>
        <w:t>점수를 기준으로 2박 이상 다지역 친구여행, 가족 체험형 등 실제 여행 유형을 도출하고, 규모·지출·사전결제 리드타임을 비교한다.</w:t>
      </w:r>
    </w:p>
    <w:p>
      <w:pPr>
        <w:spacing w:after="60" w:line="254" w:lineRule="auto"/>
        <w:ind w:left="72" w:hanging="72"/>
      </w:pPr>
      <w:r>
        <w:rPr>
          <w:rFonts w:ascii="Arial" w:hAnsi="Arial"/>
          <w:b/>
          <w:color w:val="1F4D78"/>
          <w:sz w:val="20"/>
        </w:rPr>
        <w:t xml:space="preserve">통합 패키지 우선순위 - </w:t>
      </w:r>
      <w:r>
        <w:rPr>
          <w:rFonts w:ascii="Arial" w:hAnsi="Arial"/>
          <w:b w:val="0"/>
          <w:color w:val="000000"/>
          <w:sz w:val="20"/>
        </w:rPr>
        <w:t>고복잡도 세그먼트의 반복 동선과 방문지 유형을 확인해 숙소+교통, 티켓+숙소, 가족 레저+숙소 등 가장 적합한 통합 예약 방식을 제안한다.</w:t>
      </w:r>
    </w:p>
    <w:p>
      <w:pPr>
        <w:spacing w:before="160" w:after="60"/>
      </w:pPr>
      <w:r>
        <w:rPr>
          <w:rFonts w:ascii="Arial" w:hAnsi="Arial"/>
          <w:b/>
          <w:color w:val="2E74B5"/>
          <w:sz w:val="24"/>
        </w:rPr>
        <w:t>4. 최종 산출물 및 한계</w:t>
      </w:r>
    </w:p>
    <w:p>
      <w:pPr>
        <w:spacing w:after="80" w:line="264" w:lineRule="auto"/>
      </w:pPr>
      <w:r>
        <w:rPr>
          <w:rFonts w:ascii="Arial" w:hAnsi="Arial"/>
          <w:b w:val="0"/>
          <w:color w:val="000000"/>
          <w:sz w:val="21"/>
        </w:rPr>
        <w:t>최종 산출물은 ‘여행 복잡도별 세그먼트 × 반복 동선 × 통합 예약 패키지’ 매트릭스다. 구매처·예약처 정보가 불완전하므로 외부 이탈이나 NOL 성과는 측정하지 않는다. 대신 통합 예약의 가치가 큰 고객군을 찾아 향후 NOL 내부 데이터로 A/B 테스트할 우선순위를 제안한다.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5B6573"/>
        <w:sz w:val="16"/>
      </w:rPr>
      <w:t>국내 여행로그 데이터(수도권, 2023) 기반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B6573"/>
        <w:sz w:val="17"/>
      </w:rPr>
      <w:t>PROJECT BRIEF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NOL 통합 예약 패키지 수요 분석 기획서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