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sz w:val="20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À 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TRABALHADORES EM HOTÉIS, BARES E RESTAURANTES DE ÁGUAS DE LINDÓIA E REGIÃO.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DE HOTEIS, RESTAURANTES, BARES E SIMILARES DE CAMPINAS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Declaramos que a empresa {{EMPRESA}} - {{CNPJ}} - CONTRATOU o </w:t>
      </w:r>
      <w:r>
        <w:rPr>
          <w:rFonts w:ascii="Arial" w:hAnsi="Arial" w:eastAsia="Arial" w:cs="Arial"/>
          <w:b/>
          <w:sz w:val="20"/>
        </w:rPr>
        <w:t>{{BLOCO_BENEFICIOS}}</w:t>
      </w:r>
      <w:r>
        <w:rPr>
          <w:rFonts w:ascii="Arial" w:hAnsi="Arial" w:eastAsia="Arial" w:cs="Arial"/>
          <w:b w:val="0"/>
          <w:sz w:val="20"/>
        </w:rPr>
        <w:t xml:space="preserve"> conforme estipulado na Convenção Coletiva de Trabalho.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Informamos que a apólice do Seguro de Vida e Telemedicina estão, atualmente, em processo de emissão junto à Seguradora. Tão logo estejam disponíveis, serão prontamente encaminhados ao e-mail do nosso estimado cliente.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A adesão foi formalizada pelo pagamento do boleto realizado em {{PAGTO}},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O PLANO ESTÁ ATIVO PARA OS COLABORADORES ABAIXO: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São Paulo, 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