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65F46"/>
          <w:sz w:val="84"/>
        </w:rPr>
        <w:t>MamaCare</w:t>
      </w:r>
    </w:p>
    <w:p>
      <w:pPr>
        <w:jc w:val="center"/>
      </w:pPr>
      <w:r>
        <w:rPr>
          <w:b/>
          <w:color w:val="0F172A"/>
          <w:sz w:val="40"/>
        </w:rPr>
        <w:t>Maternal Health Risk Classification Capstone Report</w:t>
      </w:r>
    </w:p>
    <w:p>
      <w:pPr>
        <w:spacing w:before="240"/>
        <w:jc w:val="center"/>
      </w:pPr>
      <w:r>
        <w:rPr>
          <w:color w:val="475569"/>
          <w:sz w:val="24"/>
        </w:rPr>
        <w:t>A reproducible data-science project using the UCI Maternal Health Risk dataset</w:t>
      </w:r>
    </w:p>
    <w:p>
      <w:pPr>
        <w:spacing w:before="480"/>
        <w:jc w:val="center"/>
      </w:pPr>
      <w:r>
        <w:drawing>
          <wp:inline xmlns:a="http://schemas.openxmlformats.org/drawingml/2006/main" xmlns:pic="http://schemas.openxmlformats.org/drawingml/2006/picture">
            <wp:extent cx="5074920" cy="4074033"/>
            <wp:docPr id="1" name="Picture 1"/>
            <wp:cNvGraphicFramePr>
              <a:graphicFrameLocks noChangeAspect="1"/>
            </wp:cNvGraphicFramePr>
            <a:graphic>
              <a:graphicData uri="http://schemas.openxmlformats.org/drawingml/2006/picture">
                <pic:pic>
                  <pic:nvPicPr>
                    <pic:cNvPr id="0" name="mamacare_frontend_preview.png"/>
                    <pic:cNvPicPr/>
                  </pic:nvPicPr>
                  <pic:blipFill>
                    <a:blip r:embed="rId11"/>
                    <a:stretch>
                      <a:fillRect/>
                    </a:stretch>
                  </pic:blipFill>
                  <pic:spPr>
                    <a:xfrm>
                      <a:off x="0" y="0"/>
                      <a:ext cx="5074920" cy="4074033"/>
                    </a:xfrm>
                    <a:prstGeom prst="rect"/>
                  </pic:spPr>
                </pic:pic>
              </a:graphicData>
            </a:graphic>
          </wp:inline>
        </w:drawing>
      </w:r>
    </w:p>
    <w:p>
      <w:pPr>
        <w:spacing w:before="320"/>
        <w:jc w:val="center"/>
      </w:pPr>
      <w:r>
        <w:rPr>
          <w:color w:val="475569"/>
          <w:sz w:val="22"/>
        </w:rPr>
        <w:t>Prepared by Collins Mikaye</w:t>
        <w:br/>
        <w:t>Computer Science Capstone Project</w:t>
        <w:br/>
        <w:t>August 2026</w:t>
      </w:r>
    </w:p>
    <w:p>
      <w:r>
        <w:br w:type="page"/>
      </w:r>
    </w:p>
    <w:p>
      <w:pPr>
        <w:pStyle w:val="Heading1"/>
        <w:spacing w:before="160" w:after="120"/>
      </w:pPr>
      <w:r>
        <w:rPr>
          <w:b/>
          <w:color w:val="065F46"/>
        </w:rPr>
        <w:t>Executive Summary</w:t>
      </w:r>
    </w:p>
    <w:p>
      <w:pPr>
        <w:spacing w:after="100" w:line="269" w:lineRule="auto"/>
      </w:pPr>
      <w:r>
        <w:t>MamaCare is a three-class maternal-health risk classification capstone. It uses six routine measurements to assign records to Low Risk, Mid Risk or High Risk. The project was redesigned to follow the capstone mentor requirements: a precise problem statement, a no-learning baseline, a declared primary metric, disaggregated evaluation, structured error analysis, Responsible AI documentation, a public-repository structure and a presentation-ready frontend.</w:t>
      </w:r>
    </w:p>
    <w:p>
      <w:pPr>
        <w:spacing w:after="100" w:line="269" w:lineRule="auto"/>
      </w:pPr>
      <w:r>
        <w:t>The selected model is ShallowMLP. On the untouched measurement-signature-separated test set it achieved Weighted F1 0.562, Macro F1 0.574, accuracy 0.601 and High Risk recall 0.818. It clearly outperformed the majority-class baseline, whose Weighted F1 was 0.228.</w:t>
      </w:r>
    </w:p>
    <w:tbl>
      <w:tblPr>
        <w:tblW w:type="auto" w:w="0"/>
        <w:jc w:val="center"/>
        <w:tblLook w:firstColumn="1" w:firstRow="1" w:lastColumn="0" w:lastRow="0" w:noHBand="0" w:noVBand="1" w:val="04A0"/>
      </w:tblPr>
      <w:tblGrid>
        <w:gridCol w:w="10166"/>
      </w:tblGrid>
      <w:tr>
        <w:tc>
          <w:tcPr>
            <w:tcW w:type="dxa" w:w="10166"/>
            <w:shd w:fill="FEE2E2"/>
          </w:tcPr>
          <w:p>
            <w:pPr>
              <w:spacing w:after="40"/>
            </w:pPr>
            <w:r>
              <w:rPr>
                <w:b/>
                <w:color w:val="B91C1C"/>
              </w:rPr>
              <w:t xml:space="preserve">Central limitation: </w:t>
            </w:r>
            <w:r>
              <w:rPr>
                <w:color w:val="0F172A"/>
              </w:rPr>
              <w:t>Mid Risk recall is only 14.9%. The model is therefore not suitable for clinical deployment. The interface is an academic demonstration and repeatedly warns against diagnostic, treatment, triage or emergency use.</w:t>
            </w:r>
          </w:p>
        </w:tc>
      </w:tr>
    </w:tbl>
    <w:p>
      <w:pPr>
        <w:spacing w:after="20"/>
      </w:pPr>
    </w:p>
    <w:p>
      <w:pPr>
        <w:spacing w:after="100" w:line="269" w:lineRule="auto"/>
      </w:pPr>
      <w:r>
        <w:t>The strongest methodological decision is the use of group-separated splits. The dataset contains 562 exact duplicate rows, and 35 identical measurement signatures have conflicting labels. Keeping identical signatures in one partition prevents duplicate leakage and produces a more honest estimate of generalization.</w:t>
      </w:r>
    </w:p>
    <w:p>
      <w:pPr>
        <w:pStyle w:val="Heading2"/>
        <w:spacing w:before="160" w:after="120"/>
      </w:pPr>
      <w:r>
        <w:rPr>
          <w:b/>
          <w:color w:val="047857"/>
        </w:rPr>
        <w:t>Capstone Deliverables</w:t>
      </w:r>
    </w:p>
    <w:p>
      <w:pPr>
        <w:pStyle w:val="ListBullet"/>
        <w:spacing w:after="60"/>
      </w:pPr>
      <w:r>
        <w:t>Executed end-to-end Jupyter notebook with EDA, modelling, fairness and error analysis.</w:t>
      </w:r>
    </w:p>
    <w:p>
      <w:pPr>
        <w:pStyle w:val="ListBullet"/>
        <w:spacing w:after="60"/>
      </w:pPr>
      <w:r>
        <w:t>Reusable Python backend with saved pipeline and metadata.</w:t>
      </w:r>
    </w:p>
    <w:p>
      <w:pPr>
        <w:pStyle w:val="ListBullet"/>
        <w:spacing w:after="60"/>
      </w:pPr>
      <w:r>
        <w:t>Professional Streamlit frontend with uncertainty, explanations, what-if exploration and safety warnings.</w:t>
      </w:r>
    </w:p>
    <w:p>
      <w:pPr>
        <w:pStyle w:val="ListBullet"/>
        <w:spacing w:after="60"/>
      </w:pPr>
      <w:r>
        <w:t>Responsible AI statement, model card, data dictionary and dataset-selection record.</w:t>
      </w:r>
    </w:p>
    <w:p>
      <w:pPr>
        <w:pStyle w:val="ListBullet"/>
        <w:spacing w:after="60"/>
      </w:pPr>
      <w:r>
        <w:t>Five-slide presentation, speaker notes and submission checklist.</w:t>
      </w:r>
    </w:p>
    <w:p>
      <w:pPr>
        <w:pStyle w:val="Heading1"/>
        <w:spacing w:before="160" w:after="120"/>
      </w:pPr>
      <w:r>
        <w:rPr>
          <w:b/>
          <w:color w:val="065F46"/>
        </w:rPr>
        <w:t>1. Problem Definition and Capstone Alignment</w:t>
      </w:r>
    </w:p>
    <w:p>
      <w:pPr>
        <w:pStyle w:val="Heading2"/>
        <w:spacing w:before="160" w:after="120"/>
      </w:pPr>
      <w:r>
        <w:rPr>
          <w:b/>
          <w:color w:val="047857"/>
        </w:rPr>
        <w:t>1.1 Final Problem Statement</w:t>
      </w:r>
    </w:p>
    <w:p>
      <w:pPr>
        <w:spacing w:after="100" w:line="269" w:lineRule="auto"/>
      </w:pPr>
      <w:r>
        <w:t>MamaCare classifies maternal-health records represented in the UCI Maternal Health Risk dataset into Low Risk, Mid Risk or High Risk using age, systolic blood pressure, diastolic blood pressure, blood sugar, body temperature and heart rate. The primary evaluation metric is Weighted F1 on an untouched group-separated test set. Macro F1, High Risk recall, accuracy and log loss are secondary metrics, and High Risk recall is disaggregated by age group.</w:t>
      </w:r>
    </w:p>
    <w:p>
      <w:pPr>
        <w:pStyle w:val="Heading2"/>
        <w:spacing w:before="160" w:after="120"/>
      </w:pPr>
      <w:r>
        <w:rPr>
          <w:b/>
          <w:color w:val="047857"/>
        </w:rPr>
        <w:t>1.2 Scope</w:t>
      </w:r>
    </w:p>
    <w:p>
      <w:pPr>
        <w:spacing w:after="100" w:line="269" w:lineRule="auto"/>
      </w:pPr>
      <w:r>
        <w:t>The project is limited to classification using the variables available in the public dataset. It does not diagnose a pregnancy complication, prescribe treatment, make an emergency decision or replace antenatal care guidelines. It demonstrates a complete data-science workflow and responsible communication of model limitations.</w:t>
      </w:r>
    </w:p>
    <w:p>
      <w:pPr>
        <w:pStyle w:val="Heading2"/>
        <w:spacing w:before="160" w:after="120"/>
      </w:pPr>
      <w:r>
        <w:rPr>
          <w:b/>
          <w:color w:val="047857"/>
        </w:rPr>
        <w:t>1.3 Research Questions</w:t>
      </w:r>
    </w:p>
    <w:p>
      <w:pPr>
        <w:pStyle w:val="ListBullet"/>
        <w:spacing w:after="60"/>
      </w:pPr>
      <w:r>
        <w:t>Which measurements have the strongest association with the three risk labels?</w:t>
      </w:r>
    </w:p>
    <w:p>
      <w:pPr>
        <w:pStyle w:val="ListBullet"/>
        <w:spacing w:after="60"/>
      </w:pPr>
      <w:r>
        <w:t>Do pulse pressure, mean arterial pressure and age band improve validation performance?</w:t>
      </w:r>
    </w:p>
    <w:p>
      <w:pPr>
        <w:pStyle w:val="ListBullet"/>
        <w:spacing w:after="60"/>
      </w:pPr>
      <w:r>
        <w:t>How do baseline, traditional, boosting, neural-network and ensemble models compare?</w:t>
      </w:r>
    </w:p>
    <w:p>
      <w:pPr>
        <w:pStyle w:val="ListBullet"/>
        <w:spacing w:after="60"/>
      </w:pPr>
      <w:r>
        <w:t>Where does the selected model fail, and are errors concentrated by class, age group or data-quality condition?</w:t>
      </w:r>
    </w:p>
    <w:p>
      <w:pPr>
        <w:pStyle w:val="ListBullet"/>
        <w:spacing w:after="60"/>
      </w:pPr>
      <w:r>
        <w:t>How can the output be presented clearly without implying medical authority?</w:t>
      </w:r>
    </w:p>
    <w:p>
      <w:pPr>
        <w:pStyle w:val="Heading2"/>
        <w:spacing w:before="160" w:after="120"/>
      </w:pPr>
      <w:r>
        <w:rPr>
          <w:b/>
          <w:color w:val="047857"/>
        </w:rPr>
        <w:t>1.4 Mentor Requirements Addressed</w:t>
      </w:r>
    </w:p>
    <w:p>
      <w:pPr>
        <w:spacing w:after="100" w:line="269" w:lineRule="auto"/>
      </w:pPr>
      <w:r>
        <w:t>The project uses one target variable and one declared primary metric. It includes a baseline, two secondary metrics, subgroup evaluation, structured error analysis, a 500-700 word Responsible AI statement, a clean GitHub structure and a five-slide presentation. The compliance matrix is included in docs/CAPSTONE_COMPLIANCE_CHECKLIST.md.</w:t>
      </w:r>
    </w:p>
    <w:p>
      <w:pPr>
        <w:pStyle w:val="Heading1"/>
        <w:spacing w:before="160" w:after="120"/>
      </w:pPr>
      <w:r>
        <w:rPr>
          <w:b/>
          <w:color w:val="065F46"/>
        </w:rPr>
        <w:t>2. Dataset Selection and Data Quality</w:t>
      </w:r>
    </w:p>
    <w:p>
      <w:pPr>
        <w:pStyle w:val="Heading2"/>
        <w:spacing w:before="160" w:after="120"/>
      </w:pPr>
      <w:r>
        <w:rPr>
          <w:b/>
          <w:color w:val="047857"/>
        </w:rPr>
        <w:t>2.1 Dataset Source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1FAE5"/>
            <w:vAlign w:val="center"/>
          </w:tcPr>
          <w:p>
            <w:pPr>
              <w:jc w:val="center"/>
            </w:pPr>
            <w:r>
              <w:rPr>
                <w:b/>
                <w:color w:val="065F46"/>
                <w:sz w:val="17"/>
              </w:rPr>
              <w:t>Property</w:t>
            </w:r>
          </w:p>
        </w:tc>
        <w:tc>
          <w:tcPr>
            <w:tcW w:type="dxa" w:w="5083"/>
            <w:shd w:fill="D1FAE5"/>
            <w:vAlign w:val="center"/>
          </w:tcPr>
          <w:p>
            <w:pPr>
              <w:jc w:val="center"/>
            </w:pPr>
            <w:r>
              <w:rPr>
                <w:b/>
                <w:color w:val="065F46"/>
                <w:sz w:val="17"/>
              </w:rPr>
              <w:t>Value</w:t>
            </w:r>
          </w:p>
        </w:tc>
      </w:tr>
      <w:tr>
        <w:tc>
          <w:tcPr>
            <w:tcW w:type="dxa" w:w="5083"/>
            <w:vAlign w:val="center"/>
          </w:tcPr>
          <w:p>
            <w:pPr>
              <w:jc w:val="left"/>
            </w:pPr>
            <w:r>
              <w:rPr>
                <w:color w:val="0F172A"/>
                <w:sz w:val="17"/>
              </w:rPr>
              <w:t>Dataset</w:t>
            </w:r>
          </w:p>
        </w:tc>
        <w:tc>
          <w:tcPr>
            <w:tcW w:type="dxa" w:w="5083"/>
            <w:vAlign w:val="center"/>
          </w:tcPr>
          <w:p>
            <w:pPr>
              <w:jc w:val="center"/>
            </w:pPr>
            <w:r>
              <w:rPr>
                <w:color w:val="0F172A"/>
                <w:sz w:val="17"/>
              </w:rPr>
              <w:t>UCI Maternal Health Risk</w:t>
            </w:r>
          </w:p>
        </w:tc>
      </w:tr>
      <w:tr>
        <w:tc>
          <w:tcPr>
            <w:tcW w:type="dxa" w:w="5083"/>
            <w:vAlign w:val="center"/>
          </w:tcPr>
          <w:p>
            <w:pPr>
              <w:jc w:val="left"/>
            </w:pPr>
            <w:r>
              <w:rPr>
                <w:color w:val="0F172A"/>
                <w:sz w:val="17"/>
              </w:rPr>
              <w:t>DOI</w:t>
            </w:r>
          </w:p>
        </w:tc>
        <w:tc>
          <w:tcPr>
            <w:tcW w:type="dxa" w:w="5083"/>
            <w:vAlign w:val="center"/>
          </w:tcPr>
          <w:p>
            <w:pPr>
              <w:jc w:val="center"/>
            </w:pPr>
            <w:r>
              <w:rPr>
                <w:color w:val="0F172A"/>
                <w:sz w:val="17"/>
              </w:rPr>
              <w:t>10.24432/C5DP5D</w:t>
            </w:r>
          </w:p>
        </w:tc>
      </w:tr>
      <w:tr>
        <w:tc>
          <w:tcPr>
            <w:tcW w:type="dxa" w:w="5083"/>
            <w:vAlign w:val="center"/>
          </w:tcPr>
          <w:p>
            <w:pPr>
              <w:jc w:val="left"/>
            </w:pPr>
            <w:r>
              <w:rPr>
                <w:color w:val="0F172A"/>
                <w:sz w:val="17"/>
              </w:rPr>
              <w:t>Licence</w:t>
            </w:r>
          </w:p>
        </w:tc>
        <w:tc>
          <w:tcPr>
            <w:tcW w:type="dxa" w:w="5083"/>
            <w:vAlign w:val="center"/>
          </w:tcPr>
          <w:p>
            <w:pPr>
              <w:jc w:val="center"/>
            </w:pPr>
            <w:r>
              <w:rPr>
                <w:color w:val="0F172A"/>
                <w:sz w:val="17"/>
              </w:rPr>
              <w:t>CC BY 4.0</w:t>
            </w:r>
          </w:p>
        </w:tc>
      </w:tr>
      <w:tr>
        <w:tc>
          <w:tcPr>
            <w:tcW w:type="dxa" w:w="5083"/>
            <w:vAlign w:val="center"/>
          </w:tcPr>
          <w:p>
            <w:pPr>
              <w:jc w:val="left"/>
            </w:pPr>
            <w:r>
              <w:rPr>
                <w:color w:val="0F172A"/>
                <w:sz w:val="17"/>
              </w:rPr>
              <w:t>Downloaded rows</w:t>
            </w:r>
          </w:p>
        </w:tc>
        <w:tc>
          <w:tcPr>
            <w:tcW w:type="dxa" w:w="5083"/>
            <w:vAlign w:val="center"/>
          </w:tcPr>
          <w:p>
            <w:pPr>
              <w:jc w:val="center"/>
            </w:pPr>
            <w:r>
              <w:rPr>
                <w:color w:val="0F172A"/>
                <w:sz w:val="17"/>
              </w:rPr>
              <w:t>1,014</w:t>
            </w:r>
          </w:p>
        </w:tc>
      </w:tr>
      <w:tr>
        <w:tc>
          <w:tcPr>
            <w:tcW w:type="dxa" w:w="5083"/>
            <w:vAlign w:val="center"/>
          </w:tcPr>
          <w:p>
            <w:pPr>
              <w:jc w:val="left"/>
            </w:pPr>
            <w:r>
              <w:rPr>
                <w:color w:val="0F172A"/>
                <w:sz w:val="17"/>
              </w:rPr>
              <w:t>Target</w:t>
            </w:r>
          </w:p>
        </w:tc>
        <w:tc>
          <w:tcPr>
            <w:tcW w:type="dxa" w:w="5083"/>
            <w:vAlign w:val="center"/>
          </w:tcPr>
          <w:p>
            <w:pPr>
              <w:jc w:val="center"/>
            </w:pPr>
            <w:r>
              <w:rPr>
                <w:color w:val="0F172A"/>
                <w:sz w:val="17"/>
              </w:rPr>
              <w:t>RiskLevel</w:t>
            </w:r>
          </w:p>
        </w:tc>
      </w:tr>
      <w:tr>
        <w:tc>
          <w:tcPr>
            <w:tcW w:type="dxa" w:w="5083"/>
            <w:vAlign w:val="center"/>
          </w:tcPr>
          <w:p>
            <w:pPr>
              <w:jc w:val="left"/>
            </w:pPr>
            <w:r>
              <w:rPr>
                <w:color w:val="0F172A"/>
                <w:sz w:val="17"/>
              </w:rPr>
              <w:t>Inputs</w:t>
            </w:r>
          </w:p>
        </w:tc>
        <w:tc>
          <w:tcPr>
            <w:tcW w:type="dxa" w:w="5083"/>
            <w:vAlign w:val="center"/>
          </w:tcPr>
          <w:p>
            <w:pPr>
              <w:jc w:val="center"/>
            </w:pPr>
            <w:r>
              <w:rPr>
                <w:color w:val="0F172A"/>
                <w:sz w:val="17"/>
              </w:rPr>
              <w:t>Six numerical maternal-health measurements</w:t>
            </w:r>
          </w:p>
        </w:tc>
      </w:tr>
      <w:tr>
        <w:tc>
          <w:tcPr>
            <w:tcW w:type="dxa" w:w="5083"/>
            <w:vAlign w:val="center"/>
          </w:tcPr>
          <w:p>
            <w:pPr>
              <w:jc w:val="left"/>
            </w:pPr>
            <w:r>
              <w:rPr>
                <w:color w:val="0F172A"/>
                <w:sz w:val="17"/>
              </w:rPr>
              <w:t>Population context</w:t>
            </w:r>
          </w:p>
        </w:tc>
        <w:tc>
          <w:tcPr>
            <w:tcW w:type="dxa" w:w="5083"/>
            <w:vAlign w:val="center"/>
          </w:tcPr>
          <w:p>
            <w:pPr>
              <w:jc w:val="center"/>
            </w:pPr>
            <w:r>
              <w:rPr>
                <w:color w:val="0F172A"/>
                <w:sz w:val="17"/>
              </w:rPr>
              <w:t>Maternal-health facilities in rural Bangladesh, as documented by UCI</w:t>
            </w:r>
          </w:p>
        </w:tc>
      </w:tr>
    </w:tbl>
    <w:p>
      <w:pPr>
        <w:spacing w:after="20"/>
      </w:pPr>
    </w:p>
    <w:p>
      <w:pPr>
        <w:spacing w:after="100" w:line="269" w:lineRule="auto"/>
      </w:pPr>
      <w:r>
        <w:t>UCI metadata reports 1,013 instances, while the downloaded CSV used in this project contains 1,014 data rows. The exact file is preserved in data/raw and its SHA-256 checksum is recorded in model_metadata.json.</w:t>
      </w:r>
    </w:p>
    <w:p>
      <w:pPr>
        <w:pStyle w:val="Heading2"/>
        <w:spacing w:before="160" w:after="120"/>
      </w:pPr>
      <w:r>
        <w:rPr>
          <w:b/>
          <w:color w:val="047857"/>
        </w:rPr>
        <w:t>2.2 Dataset Selection</w:t>
      </w:r>
    </w:p>
    <w:p>
      <w:pPr>
        <w:spacing w:after="100" w:line="269" w:lineRule="auto"/>
      </w:pPr>
      <w:r>
        <w:t>The Maternal Health Risk dataset was selected over the Financial Inclusion in Africa dataset because it matched the accepted MamaCare topic and allowed a complete classification, frontend and Responsible AI workflow. The alternative dataset was larger and offered richer demographic subgroups, but it did not match the maternal-health scope.</w:t>
      </w:r>
    </w:p>
    <w:p>
      <w:pPr>
        <w:pStyle w:val="Heading2"/>
        <w:spacing w:before="160" w:after="120"/>
      </w:pPr>
      <w:r>
        <w:rPr>
          <w:b/>
          <w:color w:val="047857"/>
        </w:rPr>
        <w:t>2.3 Data-quality Findings</w:t>
      </w:r>
    </w:p>
    <w:p>
      <w:pPr>
        <w:pStyle w:val="ListBullet"/>
        <w:spacing w:after="60"/>
      </w:pPr>
      <w:r>
        <w:t>No source values are missing.</w:t>
      </w:r>
    </w:p>
    <w:p>
      <w:pPr>
        <w:pStyle w:val="ListBullet"/>
        <w:spacing w:after="60"/>
      </w:pPr>
      <w:r>
        <w:t>562 rows are exact duplicates.</w:t>
      </w:r>
    </w:p>
    <w:p>
      <w:pPr>
        <w:pStyle w:val="ListBullet"/>
        <w:spacing w:after="60"/>
      </w:pPr>
      <w:r>
        <w:t>35 identical measurement signatures carry more than one label.</w:t>
      </w:r>
    </w:p>
    <w:p>
      <w:pPr>
        <w:pStyle w:val="ListBullet"/>
        <w:spacing w:after="60"/>
      </w:pPr>
      <w:r>
        <w:t>215 rows belong to those contradictory signatures.</w:t>
      </w:r>
    </w:p>
    <w:p>
      <w:pPr>
        <w:pStyle w:val="ListBullet"/>
        <w:spacing w:after="60"/>
      </w:pPr>
      <w:r>
        <w:t>Some observed values are implausible, including a heart rate of 7 beats per minute.</w:t>
      </w:r>
    </w:p>
    <w:p>
      <w:pPr>
        <w:jc w:val="center"/>
      </w:pPr>
      <w:r>
        <w:drawing>
          <wp:inline xmlns:a="http://schemas.openxmlformats.org/drawingml/2006/main" xmlns:pic="http://schemas.openxmlformats.org/drawingml/2006/picture">
            <wp:extent cx="5394960" cy="3333534"/>
            <wp:docPr id="2" name="Picture 2"/>
            <wp:cNvGraphicFramePr>
              <a:graphicFrameLocks noChangeAspect="1"/>
            </wp:cNvGraphicFramePr>
            <a:graphic>
              <a:graphicData uri="http://schemas.openxmlformats.org/drawingml/2006/picture">
                <pic:pic>
                  <pic:nvPicPr>
                    <pic:cNvPr id="0" name="class_distribution_annotated.png"/>
                    <pic:cNvPicPr/>
                  </pic:nvPicPr>
                  <pic:blipFill>
                    <a:blip r:embed="rId12"/>
                    <a:stretch>
                      <a:fillRect/>
                    </a:stretch>
                  </pic:blipFill>
                  <pic:spPr>
                    <a:xfrm>
                      <a:off x="0" y="0"/>
                      <a:ext cx="5394960" cy="3333534"/>
                    </a:xfrm>
                    <a:prstGeom prst="rect"/>
                  </pic:spPr>
                </pic:pic>
              </a:graphicData>
            </a:graphic>
          </wp:inline>
        </w:drawing>
      </w:r>
    </w:p>
    <w:p>
      <w:pPr>
        <w:spacing w:after="140"/>
        <w:jc w:val="center"/>
      </w:pPr>
      <w:r>
        <w:rPr>
          <w:i/>
          <w:color w:val="475569"/>
          <w:sz w:val="17"/>
        </w:rPr>
        <w:t>Figure 1. Target-class distribution with counts and percentages.</w:t>
      </w:r>
    </w:p>
    <w:p>
      <w:pPr>
        <w:jc w:val="center"/>
      </w:pPr>
      <w:r>
        <w:drawing>
          <wp:inline xmlns:a="http://schemas.openxmlformats.org/drawingml/2006/main" xmlns:pic="http://schemas.openxmlformats.org/drawingml/2006/picture">
            <wp:extent cx="5669280" cy="2444454"/>
            <wp:docPr id="3" name="Picture 3"/>
            <wp:cNvGraphicFramePr>
              <a:graphicFrameLocks noChangeAspect="1"/>
            </wp:cNvGraphicFramePr>
            <a:graphic>
              <a:graphicData uri="http://schemas.openxmlformats.org/drawingml/2006/picture">
                <pic:pic>
                  <pic:nvPicPr>
                    <pic:cNvPr id="0" name="missing_data_heatmap.png"/>
                    <pic:cNvPicPr/>
                  </pic:nvPicPr>
                  <pic:blipFill>
                    <a:blip r:embed="rId13"/>
                    <a:stretch>
                      <a:fillRect/>
                    </a:stretch>
                  </pic:blipFill>
                  <pic:spPr>
                    <a:xfrm>
                      <a:off x="0" y="0"/>
                      <a:ext cx="5669280" cy="2444454"/>
                    </a:xfrm>
                    <a:prstGeom prst="rect"/>
                  </pic:spPr>
                </pic:pic>
              </a:graphicData>
            </a:graphic>
          </wp:inline>
        </w:drawing>
      </w:r>
    </w:p>
    <w:p>
      <w:pPr>
        <w:spacing w:after="140"/>
        <w:jc w:val="center"/>
      </w:pPr>
      <w:r>
        <w:rPr>
          <w:i/>
          <w:color w:val="475569"/>
          <w:sz w:val="17"/>
        </w:rPr>
        <w:t>Figure 2. Source missingness audit.</w:t>
      </w:r>
    </w:p>
    <w:tbl>
      <w:tblPr>
        <w:tblW w:type="auto" w:w="0"/>
        <w:jc w:val="center"/>
        <w:tblLook w:firstColumn="1" w:firstRow="1" w:lastColumn="0" w:lastRow="0" w:noHBand="0" w:noVBand="1" w:val="04A0"/>
      </w:tblPr>
      <w:tblGrid>
        <w:gridCol w:w="10166"/>
      </w:tblGrid>
      <w:tr>
        <w:tc>
          <w:tcPr>
            <w:tcW w:type="dxa" w:w="10166"/>
            <w:shd w:fill="FFF7ED"/>
          </w:tcPr>
          <w:p>
            <w:pPr>
              <w:spacing w:after="40"/>
            </w:pPr>
            <w:r>
              <w:rPr>
                <w:b/>
                <w:color w:val="F97316"/>
              </w:rPr>
              <w:t xml:space="preserve">Interpretation: </w:t>
            </w:r>
            <w:r>
              <w:rPr>
                <w:color w:val="0F172A"/>
              </w:rPr>
              <w:t>The contradictory labels mean that identical inputs can map to different targets. A deterministic model cannot perfectly solve those records, so they must be reported rather than hidden.</w:t>
            </w:r>
          </w:p>
        </w:tc>
      </w:tr>
    </w:tbl>
    <w:p>
      <w:pPr>
        <w:spacing w:after="20"/>
      </w:pPr>
    </w:p>
    <w:p>
      <w:pPr>
        <w:pStyle w:val="Heading1"/>
        <w:spacing w:before="160" w:after="120"/>
      </w:pPr>
      <w:r>
        <w:rPr>
          <w:b/>
          <w:color w:val="065F46"/>
        </w:rPr>
        <w:t>3. Exploratory Data Analysis</w:t>
      </w:r>
    </w:p>
    <w:p>
      <w:pPr>
        <w:spacing w:after="100" w:line="269" w:lineRule="auto"/>
      </w:pPr>
      <w:r>
        <w:t>EDA was used to test whether the classification problem is learnable and to identify data-quality limitations before modelling. The analysis covers target proportions, numerical distributions, outliers, measurement-by-class differences and correlations.</w:t>
      </w:r>
    </w:p>
    <w:p>
      <w:pPr>
        <w:jc w:val="center"/>
      </w:pPr>
      <w:r>
        <w:drawing>
          <wp:inline xmlns:a="http://schemas.openxmlformats.org/drawingml/2006/main" xmlns:pic="http://schemas.openxmlformats.org/drawingml/2006/picture">
            <wp:extent cx="5852160" cy="3734936"/>
            <wp:docPr id="4" name="Picture 4"/>
            <wp:cNvGraphicFramePr>
              <a:graphicFrameLocks noChangeAspect="1"/>
            </wp:cNvGraphicFramePr>
            <a:graphic>
              <a:graphicData uri="http://schemas.openxmlformats.org/drawingml/2006/picture">
                <pic:pic>
                  <pic:nvPicPr>
                    <pic:cNvPr id="0" name="feature_histograms.png"/>
                    <pic:cNvPicPr/>
                  </pic:nvPicPr>
                  <pic:blipFill>
                    <a:blip r:embed="rId14"/>
                    <a:stretch>
                      <a:fillRect/>
                    </a:stretch>
                  </pic:blipFill>
                  <pic:spPr>
                    <a:xfrm>
                      <a:off x="0" y="0"/>
                      <a:ext cx="5852160" cy="3734936"/>
                    </a:xfrm>
                    <a:prstGeom prst="rect"/>
                  </pic:spPr>
                </pic:pic>
              </a:graphicData>
            </a:graphic>
          </wp:inline>
        </w:drawing>
      </w:r>
    </w:p>
    <w:p>
      <w:pPr>
        <w:spacing w:after="140"/>
        <w:jc w:val="center"/>
      </w:pPr>
      <w:r>
        <w:rPr>
          <w:i/>
          <w:color w:val="475569"/>
          <w:sz w:val="17"/>
        </w:rPr>
        <w:t>Figure 3. Distributions of the six source measurements.</w:t>
      </w:r>
    </w:p>
    <w:p>
      <w:pPr>
        <w:spacing w:after="100" w:line="269" w:lineRule="auto"/>
      </w:pPr>
      <w:r>
        <w:t>The distributions contain repeated values, reflecting the extensive duplication in the source. Age, blood sugar and blood-pressure measurements show visible concentration at common values. The narrow support of some variables limits the complexity that can be learned.</w:t>
      </w:r>
    </w:p>
    <w:p>
      <w:pPr>
        <w:jc w:val="center"/>
      </w:pPr>
      <w:r>
        <w:drawing>
          <wp:inline xmlns:a="http://schemas.openxmlformats.org/drawingml/2006/main" xmlns:pic="http://schemas.openxmlformats.org/drawingml/2006/picture">
            <wp:extent cx="5989320" cy="3406305"/>
            <wp:docPr id="5" name="Picture 5"/>
            <wp:cNvGraphicFramePr>
              <a:graphicFrameLocks noChangeAspect="1"/>
            </wp:cNvGraphicFramePr>
            <a:graphic>
              <a:graphicData uri="http://schemas.openxmlformats.org/drawingml/2006/picture">
                <pic:pic>
                  <pic:nvPicPr>
                    <pic:cNvPr id="0" name="feature_boxplots_by_risk.png"/>
                    <pic:cNvPicPr/>
                  </pic:nvPicPr>
                  <pic:blipFill>
                    <a:blip r:embed="rId15"/>
                    <a:stretch>
                      <a:fillRect/>
                    </a:stretch>
                  </pic:blipFill>
                  <pic:spPr>
                    <a:xfrm>
                      <a:off x="0" y="0"/>
                      <a:ext cx="5989320" cy="3406305"/>
                    </a:xfrm>
                    <a:prstGeom prst="rect"/>
                  </pic:spPr>
                </pic:pic>
              </a:graphicData>
            </a:graphic>
          </wp:inline>
        </w:drawing>
      </w:r>
    </w:p>
    <w:p>
      <w:pPr>
        <w:spacing w:after="140"/>
        <w:jc w:val="center"/>
      </w:pPr>
      <w:r>
        <w:rPr>
          <w:i/>
          <w:color w:val="475569"/>
          <w:sz w:val="17"/>
        </w:rPr>
        <w:t>Figure 4. Measurement distributions split by target class.</w:t>
      </w:r>
    </w:p>
    <w:p>
      <w:pPr>
        <w:spacing w:after="100" w:line="269" w:lineRule="auto"/>
      </w:pPr>
      <w:r>
        <w:t>High Risk records generally show higher blood sugar and blood-pressure values, but substantial overlap remains. Mid Risk overlaps strongly with Low Risk and High Risk, helping to explain the weak Mid Risk recall.</w:t>
      </w:r>
    </w:p>
    <w:p>
      <w:pPr>
        <w:jc w:val="center"/>
      </w:pPr>
      <w:r>
        <w:drawing>
          <wp:inline xmlns:a="http://schemas.openxmlformats.org/drawingml/2006/main" xmlns:pic="http://schemas.openxmlformats.org/drawingml/2006/picture">
            <wp:extent cx="4937760" cy="3789947"/>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4937760" cy="3789947"/>
                    </a:xfrm>
                    <a:prstGeom prst="rect"/>
                  </pic:spPr>
                </pic:pic>
              </a:graphicData>
            </a:graphic>
          </wp:inline>
        </w:drawing>
      </w:r>
    </w:p>
    <w:p>
      <w:pPr>
        <w:spacing w:after="140"/>
        <w:jc w:val="center"/>
      </w:pPr>
      <w:r>
        <w:rPr>
          <w:i/>
          <w:color w:val="475569"/>
          <w:sz w:val="17"/>
        </w:rPr>
        <w:t>Figure 5. Correlation among source measurements.</w:t>
      </w:r>
    </w:p>
    <w:p>
      <w:pPr>
        <w:spacing w:after="100" w:line="269" w:lineRule="auto"/>
      </w:pPr>
      <w:r>
        <w:t>Systolic and diastolic blood pressure are positively related. Correlation is treated as association only; it does not establish clinical causation or make the model medically valid.</w:t>
      </w:r>
    </w:p>
    <w:p>
      <w:pPr>
        <w:pStyle w:val="Heading1"/>
        <w:spacing w:before="160" w:after="120"/>
      </w:pPr>
      <w:r>
        <w:rPr>
          <w:b/>
          <w:color w:val="065F46"/>
        </w:rPr>
        <w:t>4. Methodology and Reproducibility</w:t>
      </w:r>
    </w:p>
    <w:p>
      <w:pPr>
        <w:pStyle w:val="Heading2"/>
        <w:spacing w:before="160" w:after="120"/>
      </w:pPr>
      <w:r>
        <w:rPr>
          <w:b/>
          <w:color w:val="047857"/>
        </w:rPr>
        <w:t>4.1 End-to-end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1FAE5"/>
            <w:vAlign w:val="center"/>
          </w:tcPr>
          <w:p>
            <w:pPr>
              <w:jc w:val="center"/>
            </w:pPr>
            <w:r>
              <w:rPr>
                <w:b/>
                <w:color w:val="065F46"/>
                <w:sz w:val="16"/>
              </w:rPr>
              <w:t>Stage</w:t>
            </w:r>
          </w:p>
        </w:tc>
        <w:tc>
          <w:tcPr>
            <w:tcW w:type="dxa" w:w="3389"/>
            <w:shd w:fill="D1FAE5"/>
            <w:vAlign w:val="center"/>
          </w:tcPr>
          <w:p>
            <w:pPr>
              <w:jc w:val="center"/>
            </w:pPr>
            <w:r>
              <w:rPr>
                <w:b/>
                <w:color w:val="065F46"/>
                <w:sz w:val="16"/>
              </w:rPr>
              <w:t>Implementation</w:t>
            </w:r>
          </w:p>
        </w:tc>
        <w:tc>
          <w:tcPr>
            <w:tcW w:type="dxa" w:w="3389"/>
            <w:shd w:fill="D1FAE5"/>
            <w:vAlign w:val="center"/>
          </w:tcPr>
          <w:p>
            <w:pPr>
              <w:jc w:val="center"/>
            </w:pPr>
            <w:r>
              <w:rPr>
                <w:b/>
                <w:color w:val="065F46"/>
                <w:sz w:val="16"/>
              </w:rPr>
              <w:t>Output</w:t>
            </w:r>
          </w:p>
        </w:tc>
      </w:tr>
      <w:tr>
        <w:tc>
          <w:tcPr>
            <w:tcW w:type="dxa" w:w="3389"/>
            <w:vAlign w:val="center"/>
          </w:tcPr>
          <w:p>
            <w:pPr>
              <w:jc w:val="left"/>
            </w:pPr>
            <w:r>
              <w:rPr>
                <w:color w:val="0F172A"/>
                <w:sz w:val="16"/>
              </w:rPr>
              <w:t>Acquire</w:t>
            </w:r>
          </w:p>
        </w:tc>
        <w:tc>
          <w:tcPr>
            <w:tcW w:type="dxa" w:w="3389"/>
            <w:vAlign w:val="center"/>
          </w:tcPr>
          <w:p>
            <w:pPr>
              <w:jc w:val="center"/>
            </w:pPr>
            <w:r>
              <w:rPr>
                <w:color w:val="0F172A"/>
                <w:sz w:val="16"/>
              </w:rPr>
              <w:t>Preserve the UCI CSV and validate schema</w:t>
            </w:r>
          </w:p>
        </w:tc>
        <w:tc>
          <w:tcPr>
            <w:tcW w:type="dxa" w:w="3389"/>
            <w:vAlign w:val="center"/>
          </w:tcPr>
          <w:p>
            <w:pPr>
              <w:jc w:val="center"/>
            </w:pPr>
            <w:r>
              <w:rPr>
                <w:color w:val="0F172A"/>
                <w:sz w:val="16"/>
              </w:rPr>
              <w:t>Raw dataset and checksum</w:t>
            </w:r>
          </w:p>
        </w:tc>
      </w:tr>
      <w:tr>
        <w:tc>
          <w:tcPr>
            <w:tcW w:type="dxa" w:w="3389"/>
            <w:vAlign w:val="center"/>
          </w:tcPr>
          <w:p>
            <w:pPr>
              <w:jc w:val="left"/>
            </w:pPr>
            <w:r>
              <w:rPr>
                <w:color w:val="0F172A"/>
                <w:sz w:val="16"/>
              </w:rPr>
              <w:t>Audit</w:t>
            </w:r>
          </w:p>
        </w:tc>
        <w:tc>
          <w:tcPr>
            <w:tcW w:type="dxa" w:w="3389"/>
            <w:vAlign w:val="center"/>
          </w:tcPr>
          <w:p>
            <w:pPr>
              <w:jc w:val="center"/>
            </w:pPr>
            <w:r>
              <w:rPr>
                <w:color w:val="0F172A"/>
                <w:sz w:val="16"/>
              </w:rPr>
              <w:t>Missingness, duplicates, contradictory labels, outliers</w:t>
            </w:r>
          </w:p>
        </w:tc>
        <w:tc>
          <w:tcPr>
            <w:tcW w:type="dxa" w:w="3389"/>
            <w:vAlign w:val="center"/>
          </w:tcPr>
          <w:p>
            <w:pPr>
              <w:jc w:val="center"/>
            </w:pPr>
            <w:r>
              <w:rPr>
                <w:color w:val="0F172A"/>
                <w:sz w:val="16"/>
              </w:rPr>
              <w:t>Data-quality tables and figures</w:t>
            </w:r>
          </w:p>
        </w:tc>
      </w:tr>
      <w:tr>
        <w:tc>
          <w:tcPr>
            <w:tcW w:type="dxa" w:w="3389"/>
            <w:vAlign w:val="center"/>
          </w:tcPr>
          <w:p>
            <w:pPr>
              <w:jc w:val="left"/>
            </w:pPr>
            <w:r>
              <w:rPr>
                <w:color w:val="0F172A"/>
                <w:sz w:val="16"/>
              </w:rPr>
              <w:t>Split</w:t>
            </w:r>
          </w:p>
        </w:tc>
        <w:tc>
          <w:tcPr>
            <w:tcW w:type="dxa" w:w="3389"/>
            <w:vAlign w:val="center"/>
          </w:tcPr>
          <w:p>
            <w:pPr>
              <w:jc w:val="center"/>
            </w:pPr>
            <w:r>
              <w:rPr>
                <w:color w:val="0F172A"/>
                <w:sz w:val="16"/>
              </w:rPr>
              <w:t>StratifiedGroupKFold by six-measurement signature</w:t>
            </w:r>
          </w:p>
        </w:tc>
        <w:tc>
          <w:tcPr>
            <w:tcW w:type="dxa" w:w="3389"/>
            <w:vAlign w:val="center"/>
          </w:tcPr>
          <w:p>
            <w:pPr>
              <w:jc w:val="center"/>
            </w:pPr>
            <w:r>
              <w:rPr>
                <w:color w:val="0F172A"/>
                <w:sz w:val="16"/>
              </w:rPr>
              <w:t>Train, validation and untouched test sets</w:t>
            </w:r>
          </w:p>
        </w:tc>
      </w:tr>
      <w:tr>
        <w:tc>
          <w:tcPr>
            <w:tcW w:type="dxa" w:w="3389"/>
            <w:vAlign w:val="center"/>
          </w:tcPr>
          <w:p>
            <w:pPr>
              <w:jc w:val="left"/>
            </w:pPr>
            <w:r>
              <w:rPr>
                <w:color w:val="0F172A"/>
                <w:sz w:val="16"/>
              </w:rPr>
              <w:t>Engineer</w:t>
            </w:r>
          </w:p>
        </w:tc>
        <w:tc>
          <w:tcPr>
            <w:tcW w:type="dxa" w:w="3389"/>
            <w:vAlign w:val="center"/>
          </w:tcPr>
          <w:p>
            <w:pPr>
              <w:jc w:val="center"/>
            </w:pPr>
            <w:r>
              <w:rPr>
                <w:color w:val="0F172A"/>
                <w:sz w:val="16"/>
              </w:rPr>
              <w:t>PulsePressure, MeanArterialPressure, AgeBand</w:t>
            </w:r>
          </w:p>
        </w:tc>
        <w:tc>
          <w:tcPr>
            <w:tcW w:type="dxa" w:w="3389"/>
            <w:vAlign w:val="center"/>
          </w:tcPr>
          <w:p>
            <w:pPr>
              <w:jc w:val="center"/>
            </w:pPr>
            <w:r>
              <w:rPr>
                <w:color w:val="0F172A"/>
                <w:sz w:val="16"/>
              </w:rPr>
              <w:t>Pipeline features</w:t>
            </w:r>
          </w:p>
        </w:tc>
      </w:tr>
      <w:tr>
        <w:tc>
          <w:tcPr>
            <w:tcW w:type="dxa" w:w="3389"/>
            <w:vAlign w:val="center"/>
          </w:tcPr>
          <w:p>
            <w:pPr>
              <w:jc w:val="left"/>
            </w:pPr>
            <w:r>
              <w:rPr>
                <w:color w:val="0F172A"/>
                <w:sz w:val="16"/>
              </w:rPr>
              <w:t>Model</w:t>
            </w:r>
          </w:p>
        </w:tc>
        <w:tc>
          <w:tcPr>
            <w:tcW w:type="dxa" w:w="3389"/>
            <w:vAlign w:val="center"/>
          </w:tcPr>
          <w:p>
            <w:pPr>
              <w:jc w:val="center"/>
            </w:pPr>
            <w:r>
              <w:rPr>
                <w:color w:val="0F172A"/>
                <w:sz w:val="16"/>
              </w:rPr>
              <w:t>Ten baseline and candidate approaches</w:t>
            </w:r>
          </w:p>
        </w:tc>
        <w:tc>
          <w:tcPr>
            <w:tcW w:type="dxa" w:w="3389"/>
            <w:vAlign w:val="center"/>
          </w:tcPr>
          <w:p>
            <w:pPr>
              <w:jc w:val="center"/>
            </w:pPr>
            <w:r>
              <w:rPr>
                <w:color w:val="0F172A"/>
                <w:sz w:val="16"/>
              </w:rPr>
              <w:t>Validation comparison</w:t>
            </w:r>
          </w:p>
        </w:tc>
      </w:tr>
      <w:tr>
        <w:tc>
          <w:tcPr>
            <w:tcW w:type="dxa" w:w="3389"/>
            <w:vAlign w:val="center"/>
          </w:tcPr>
          <w:p>
            <w:pPr>
              <w:jc w:val="left"/>
            </w:pPr>
            <w:r>
              <w:rPr>
                <w:color w:val="0F172A"/>
                <w:sz w:val="16"/>
              </w:rPr>
              <w:t>Evaluate</w:t>
            </w:r>
          </w:p>
        </w:tc>
        <w:tc>
          <w:tcPr>
            <w:tcW w:type="dxa" w:w="3389"/>
            <w:vAlign w:val="center"/>
          </w:tcPr>
          <w:p>
            <w:pPr>
              <w:jc w:val="center"/>
            </w:pPr>
            <w:r>
              <w:rPr>
                <w:color w:val="0F172A"/>
                <w:sz w:val="16"/>
              </w:rPr>
              <w:t>Weighted F1, Macro F1, High Risk recall, accuracy, log loss</w:t>
            </w:r>
          </w:p>
        </w:tc>
        <w:tc>
          <w:tcPr>
            <w:tcW w:type="dxa" w:w="3389"/>
            <w:vAlign w:val="center"/>
          </w:tcPr>
          <w:p>
            <w:pPr>
              <w:jc w:val="center"/>
            </w:pPr>
            <w:r>
              <w:rPr>
                <w:color w:val="0F172A"/>
                <w:sz w:val="16"/>
              </w:rPr>
              <w:t>Final test metrics</w:t>
            </w:r>
          </w:p>
        </w:tc>
      </w:tr>
      <w:tr>
        <w:tc>
          <w:tcPr>
            <w:tcW w:type="dxa" w:w="3389"/>
            <w:vAlign w:val="center"/>
          </w:tcPr>
          <w:p>
            <w:pPr>
              <w:jc w:val="left"/>
            </w:pPr>
            <w:r>
              <w:rPr>
                <w:color w:val="0F172A"/>
                <w:sz w:val="16"/>
              </w:rPr>
              <w:t>Audit impact</w:t>
            </w:r>
          </w:p>
        </w:tc>
        <w:tc>
          <w:tcPr>
            <w:tcW w:type="dxa" w:w="3389"/>
            <w:vAlign w:val="center"/>
          </w:tcPr>
          <w:p>
            <w:pPr>
              <w:jc w:val="center"/>
            </w:pPr>
            <w:r>
              <w:rPr>
                <w:color w:val="0F172A"/>
                <w:sz w:val="16"/>
              </w:rPr>
              <w:t>Age-group Equal Opportunity and structured error analysis</w:t>
            </w:r>
          </w:p>
        </w:tc>
        <w:tc>
          <w:tcPr>
            <w:tcW w:type="dxa" w:w="3389"/>
            <w:vAlign w:val="center"/>
          </w:tcPr>
          <w:p>
            <w:pPr>
              <w:jc w:val="center"/>
            </w:pPr>
            <w:r>
              <w:rPr>
                <w:color w:val="0F172A"/>
                <w:sz w:val="16"/>
              </w:rPr>
              <w:t>Fairness and error tables</w:t>
            </w:r>
          </w:p>
        </w:tc>
      </w:tr>
      <w:tr>
        <w:tc>
          <w:tcPr>
            <w:tcW w:type="dxa" w:w="3389"/>
            <w:vAlign w:val="center"/>
          </w:tcPr>
          <w:p>
            <w:pPr>
              <w:jc w:val="left"/>
            </w:pPr>
            <w:r>
              <w:rPr>
                <w:color w:val="0F172A"/>
                <w:sz w:val="16"/>
              </w:rPr>
              <w:t>Deliver</w:t>
            </w:r>
          </w:p>
        </w:tc>
        <w:tc>
          <w:tcPr>
            <w:tcW w:type="dxa" w:w="3389"/>
            <w:vAlign w:val="center"/>
          </w:tcPr>
          <w:p>
            <w:pPr>
              <w:jc w:val="center"/>
            </w:pPr>
            <w:r>
              <w:rPr>
                <w:color w:val="0F172A"/>
                <w:sz w:val="16"/>
              </w:rPr>
              <w:t>Streamlit, notebook, report, slides and tests</w:t>
            </w:r>
          </w:p>
        </w:tc>
        <w:tc>
          <w:tcPr>
            <w:tcW w:type="dxa" w:w="3389"/>
            <w:vAlign w:val="center"/>
          </w:tcPr>
          <w:p>
            <w:pPr>
              <w:jc w:val="center"/>
            </w:pPr>
            <w:r>
              <w:rPr>
                <w:color w:val="0F172A"/>
                <w:sz w:val="16"/>
              </w:rPr>
              <w:t>Portfolio-ready repository</w:t>
            </w:r>
          </w:p>
        </w:tc>
      </w:tr>
    </w:tbl>
    <w:p>
      <w:pPr>
        <w:spacing w:after="20"/>
      </w:pPr>
    </w:p>
    <w:p>
      <w:pPr>
        <w:pStyle w:val="Heading2"/>
        <w:spacing w:before="160" w:after="120"/>
      </w:pPr>
      <w:r>
        <w:rPr>
          <w:b/>
          <w:color w:val="047857"/>
        </w:rPr>
        <w:t>4.2 Leakage-resistant Splitting</w:t>
      </w:r>
    </w:p>
    <w:p>
      <w:pPr>
        <w:spacing w:after="100" w:line="269" w:lineRule="auto"/>
      </w:pPr>
      <w:r>
        <w:t>Each record is assigned a signature based on all six input measurements. StratifiedGroupKFold keeps each signature in one partition while approximately preserving class proportions. The saved overlap audit reports zero signatures shared between train, validation and test sets.</w:t>
      </w:r>
    </w:p>
    <w:p>
      <w:pPr>
        <w:pStyle w:val="Heading2"/>
        <w:spacing w:before="160" w:after="120"/>
      </w:pPr>
      <w:r>
        <w:rPr>
          <w:b/>
          <w:color w:val="047857"/>
        </w:rPr>
        <w:t>4.3 Preprocessing Pipeline</w:t>
      </w:r>
    </w:p>
    <w:p>
      <w:pPr>
        <w:pStyle w:val="ListBullet"/>
        <w:spacing w:after="60"/>
      </w:pPr>
      <w:r>
        <w:t>Median imputation permits at most one unavailable measurement.</w:t>
      </w:r>
    </w:p>
    <w:p>
      <w:pPr>
        <w:pStyle w:val="ListBullet"/>
        <w:spacing w:after="60"/>
      </w:pPr>
      <w:r>
        <w:t>Feature engineering is fitted inside the pipeline to prevent training-serving inconsistency.</w:t>
      </w:r>
    </w:p>
    <w:p>
      <w:pPr>
        <w:pStyle w:val="ListBullet"/>
        <w:spacing w:after="60"/>
      </w:pPr>
      <w:r>
        <w:t>StandardScaler normalizes numerical inputs before models that depend on scale.</w:t>
      </w:r>
    </w:p>
    <w:p>
      <w:pPr>
        <w:pStyle w:val="ListBullet"/>
        <w:spacing w:after="60"/>
      </w:pPr>
      <w:r>
        <w:t>A fixed random seed supports reproducibility.</w:t>
      </w:r>
    </w:p>
    <w:p>
      <w:pPr>
        <w:pStyle w:val="Heading2"/>
        <w:spacing w:before="160" w:after="120"/>
      </w:pPr>
      <w:r>
        <w:rPr>
          <w:b/>
          <w:color w:val="047857"/>
        </w:rPr>
        <w:t>4.4 Model Selection Protocol</w:t>
      </w:r>
    </w:p>
    <w:p>
      <w:pPr>
        <w:spacing w:after="100" w:line="269" w:lineRule="auto"/>
      </w:pPr>
      <w:r>
        <w:t>Candidate models are compared only on the group-separated validation set. The primary sorting key is Weighted F1, followed by Macro F1 and High Risk recall. The untouched test set is used once after model selection and retraining on the combined train and validation data.</w:t>
      </w:r>
    </w:p>
    <w:p>
      <w:pPr>
        <w:pStyle w:val="Heading1"/>
        <w:spacing w:before="160" w:after="120"/>
      </w:pPr>
      <w:r>
        <w:rPr>
          <w:b/>
          <w:color w:val="065F46"/>
        </w:rPr>
        <w:t>5. Feature Engineering and Clustering</w:t>
      </w:r>
    </w:p>
    <w:p>
      <w:pPr>
        <w:pStyle w:val="Heading2"/>
        <w:spacing w:before="160" w:after="120"/>
      </w:pPr>
      <w:r>
        <w:rPr>
          <w:b/>
          <w:color w:val="047857"/>
        </w:rPr>
        <w:t>5.1 Engineered Features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1FAE5"/>
            <w:vAlign w:val="center"/>
          </w:tcPr>
          <w:p>
            <w:pPr>
              <w:jc w:val="center"/>
            </w:pPr>
            <w:r>
              <w:rPr>
                <w:b/>
                <w:color w:val="065F46"/>
                <w:sz w:val="17"/>
              </w:rPr>
              <w:t>Feature</w:t>
            </w:r>
          </w:p>
        </w:tc>
        <w:tc>
          <w:tcPr>
            <w:tcW w:type="dxa" w:w="3389"/>
            <w:shd w:fill="D1FAE5"/>
            <w:vAlign w:val="center"/>
          </w:tcPr>
          <w:p>
            <w:pPr>
              <w:jc w:val="center"/>
            </w:pPr>
            <w:r>
              <w:rPr>
                <w:b/>
                <w:color w:val="065F46"/>
                <w:sz w:val="17"/>
              </w:rPr>
              <w:t>Formula or rule</w:t>
            </w:r>
          </w:p>
        </w:tc>
        <w:tc>
          <w:tcPr>
            <w:tcW w:type="dxa" w:w="3389"/>
            <w:shd w:fill="D1FAE5"/>
            <w:vAlign w:val="center"/>
          </w:tcPr>
          <w:p>
            <w:pPr>
              <w:jc w:val="center"/>
            </w:pPr>
            <w:r>
              <w:rPr>
                <w:b/>
                <w:color w:val="065F46"/>
                <w:sz w:val="17"/>
              </w:rPr>
              <w:t>Purpose</w:t>
            </w:r>
          </w:p>
        </w:tc>
      </w:tr>
      <w:tr>
        <w:tc>
          <w:tcPr>
            <w:tcW w:type="dxa" w:w="3389"/>
            <w:vAlign w:val="center"/>
          </w:tcPr>
          <w:p>
            <w:pPr>
              <w:jc w:val="left"/>
            </w:pPr>
            <w:r>
              <w:rPr>
                <w:color w:val="0F172A"/>
                <w:sz w:val="17"/>
              </w:rPr>
              <w:t>PulsePressure</w:t>
            </w:r>
          </w:p>
        </w:tc>
        <w:tc>
          <w:tcPr>
            <w:tcW w:type="dxa" w:w="3389"/>
            <w:vAlign w:val="center"/>
          </w:tcPr>
          <w:p>
            <w:pPr>
              <w:jc w:val="center"/>
            </w:pPr>
            <w:r>
              <w:rPr>
                <w:color w:val="0F172A"/>
                <w:sz w:val="17"/>
              </w:rPr>
              <w:t>SystolicBP - DiastolicBP</w:t>
            </w:r>
          </w:p>
        </w:tc>
        <w:tc>
          <w:tcPr>
            <w:tcW w:type="dxa" w:w="3389"/>
            <w:vAlign w:val="center"/>
          </w:tcPr>
          <w:p>
            <w:pPr>
              <w:jc w:val="center"/>
            </w:pPr>
            <w:r>
              <w:rPr>
                <w:color w:val="0F172A"/>
                <w:sz w:val="17"/>
              </w:rPr>
              <w:t>Summarize the pressure difference</w:t>
            </w:r>
          </w:p>
        </w:tc>
      </w:tr>
      <w:tr>
        <w:tc>
          <w:tcPr>
            <w:tcW w:type="dxa" w:w="3389"/>
            <w:vAlign w:val="center"/>
          </w:tcPr>
          <w:p>
            <w:pPr>
              <w:jc w:val="left"/>
            </w:pPr>
            <w:r>
              <w:rPr>
                <w:color w:val="0F172A"/>
                <w:sz w:val="17"/>
              </w:rPr>
              <w:t>MeanArterialPressure</w:t>
            </w:r>
          </w:p>
        </w:tc>
        <w:tc>
          <w:tcPr>
            <w:tcW w:type="dxa" w:w="3389"/>
            <w:vAlign w:val="center"/>
          </w:tcPr>
          <w:p>
            <w:pPr>
              <w:jc w:val="center"/>
            </w:pPr>
            <w:r>
              <w:rPr>
                <w:color w:val="0F172A"/>
                <w:sz w:val="17"/>
              </w:rPr>
              <w:t>(SystolicBP + 2 x DiastolicBP) / 3</w:t>
            </w:r>
          </w:p>
        </w:tc>
        <w:tc>
          <w:tcPr>
            <w:tcW w:type="dxa" w:w="3389"/>
            <w:vAlign w:val="center"/>
          </w:tcPr>
          <w:p>
            <w:pPr>
              <w:jc w:val="center"/>
            </w:pPr>
            <w:r>
              <w:rPr>
                <w:color w:val="0F172A"/>
                <w:sz w:val="17"/>
              </w:rPr>
              <w:t>Summarize average arterial pressure</w:t>
            </w:r>
          </w:p>
        </w:tc>
      </w:tr>
      <w:tr>
        <w:tc>
          <w:tcPr>
            <w:tcW w:type="dxa" w:w="3389"/>
            <w:vAlign w:val="center"/>
          </w:tcPr>
          <w:p>
            <w:pPr>
              <w:jc w:val="left"/>
            </w:pPr>
            <w:r>
              <w:rPr>
                <w:color w:val="0F172A"/>
                <w:sz w:val="17"/>
              </w:rPr>
              <w:t>AgeBand</w:t>
            </w:r>
          </w:p>
        </w:tc>
        <w:tc>
          <w:tcPr>
            <w:tcW w:type="dxa" w:w="3389"/>
            <w:vAlign w:val="center"/>
          </w:tcPr>
          <w:p>
            <w:pPr>
              <w:jc w:val="center"/>
            </w:pPr>
            <w:r>
              <w:rPr>
                <w:color w:val="0F172A"/>
                <w:sz w:val="17"/>
              </w:rPr>
              <w:t>&lt;=19, 20-34, 35-49, &gt;=50</w:t>
            </w:r>
          </w:p>
        </w:tc>
        <w:tc>
          <w:tcPr>
            <w:tcW w:type="dxa" w:w="3389"/>
            <w:vAlign w:val="center"/>
          </w:tcPr>
          <w:p>
            <w:pPr>
              <w:jc w:val="center"/>
            </w:pPr>
            <w:r>
              <w:rPr>
                <w:color w:val="0F172A"/>
                <w:sz w:val="17"/>
              </w:rPr>
              <w:t>Represent non-linear age groups</w:t>
            </w:r>
          </w:p>
        </w:tc>
      </w:tr>
    </w:tbl>
    <w:p>
      <w:pPr>
        <w:spacing w:after="20"/>
      </w:pPr>
    </w:p>
    <w:p>
      <w:pPr>
        <w:jc w:val="center"/>
      </w:pPr>
      <w:r>
        <w:drawing>
          <wp:inline xmlns:a="http://schemas.openxmlformats.org/drawingml/2006/main" xmlns:pic="http://schemas.openxmlformats.org/drawingml/2006/picture">
            <wp:extent cx="4937760" cy="3136361"/>
            <wp:docPr id="7" name="Picture 7"/>
            <wp:cNvGraphicFramePr>
              <a:graphicFrameLocks noChangeAspect="1"/>
            </wp:cNvGraphicFramePr>
            <a:graphic>
              <a:graphicData uri="http://schemas.openxmlformats.org/drawingml/2006/picture">
                <pic:pic>
                  <pic:nvPicPr>
                    <pic:cNvPr id="0" name="feature_ablation.png"/>
                    <pic:cNvPicPr/>
                  </pic:nvPicPr>
                  <pic:blipFill>
                    <a:blip r:embed="rId17"/>
                    <a:stretch>
                      <a:fillRect/>
                    </a:stretch>
                  </pic:blipFill>
                  <pic:spPr>
                    <a:xfrm>
                      <a:off x="0" y="0"/>
                      <a:ext cx="4937760" cy="3136361"/>
                    </a:xfrm>
                    <a:prstGeom prst="rect"/>
                  </pic:spPr>
                </pic:pic>
              </a:graphicData>
            </a:graphic>
          </wp:inline>
        </w:drawing>
      </w:r>
    </w:p>
    <w:p>
      <w:pPr>
        <w:spacing w:after="140"/>
        <w:jc w:val="center"/>
      </w:pPr>
      <w:r>
        <w:rPr>
          <w:i/>
          <w:color w:val="475569"/>
          <w:sz w:val="17"/>
        </w:rPr>
        <w:t>Figure 6. Validation performance with and without engineered features.</w:t>
      </w:r>
    </w:p>
    <w:p>
      <w:pPr>
        <w:spacing w:after="100" w:line="269" w:lineRule="auto"/>
      </w:pPr>
      <w:r>
        <w:t>The ablation experiment compares the selected model using the original six features against the same model with the engineered variables. The final pipeline retains the engineered set because it produced the stronger validation result.</w:t>
      </w:r>
    </w:p>
    <w:p>
      <w:pPr>
        <w:pStyle w:val="Heading2"/>
        <w:spacing w:before="160" w:after="120"/>
      </w:pPr>
      <w:r>
        <w:rPr>
          <w:b/>
          <w:color w:val="047857"/>
        </w:rPr>
        <w:t>5.2 Exploratory Clustering</w:t>
      </w:r>
    </w:p>
    <w:p>
      <w:pPr>
        <w:jc w:val="center"/>
      </w:pPr>
      <w:r>
        <w:drawing>
          <wp:inline xmlns:a="http://schemas.openxmlformats.org/drawingml/2006/main" xmlns:pic="http://schemas.openxmlformats.org/drawingml/2006/picture">
            <wp:extent cx="4754880" cy="3004712"/>
            <wp:docPr id="8" name="Picture 8"/>
            <wp:cNvGraphicFramePr>
              <a:graphicFrameLocks noChangeAspect="1"/>
            </wp:cNvGraphicFramePr>
            <a:graphic>
              <a:graphicData uri="http://schemas.openxmlformats.org/drawingml/2006/picture">
                <pic:pic>
                  <pic:nvPicPr>
                    <pic:cNvPr id="0" name="kmeans_silhouette.png"/>
                    <pic:cNvPicPr/>
                  </pic:nvPicPr>
                  <pic:blipFill>
                    <a:blip r:embed="rId18"/>
                    <a:stretch>
                      <a:fillRect/>
                    </a:stretch>
                  </pic:blipFill>
                  <pic:spPr>
                    <a:xfrm>
                      <a:off x="0" y="0"/>
                      <a:ext cx="4754880" cy="3004712"/>
                    </a:xfrm>
                    <a:prstGeom prst="rect"/>
                  </pic:spPr>
                </pic:pic>
              </a:graphicData>
            </a:graphic>
          </wp:inline>
        </w:drawing>
      </w:r>
    </w:p>
    <w:p>
      <w:pPr>
        <w:spacing w:after="140"/>
        <w:jc w:val="center"/>
      </w:pPr>
      <w:r>
        <w:rPr>
          <w:i/>
          <w:color w:val="475569"/>
          <w:sz w:val="17"/>
        </w:rPr>
        <w:t>Figure 7. K-Means silhouette scores for two to six clusters.</w:t>
      </w:r>
    </w:p>
    <w:p>
      <w:pPr>
        <w:jc w:val="center"/>
      </w:pPr>
      <w:r>
        <w:drawing>
          <wp:inline xmlns:a="http://schemas.openxmlformats.org/drawingml/2006/main" xmlns:pic="http://schemas.openxmlformats.org/drawingml/2006/picture">
            <wp:extent cx="5669280" cy="2869041"/>
            <wp:docPr id="9" name="Picture 9"/>
            <wp:cNvGraphicFramePr>
              <a:graphicFrameLocks noChangeAspect="1"/>
            </wp:cNvGraphicFramePr>
            <a:graphic>
              <a:graphicData uri="http://schemas.openxmlformats.org/drawingml/2006/picture">
                <pic:pic>
                  <pic:nvPicPr>
                    <pic:cNvPr id="0" name="cluster_profile_heatmap.png"/>
                    <pic:cNvPicPr/>
                  </pic:nvPicPr>
                  <pic:blipFill>
                    <a:blip r:embed="rId19"/>
                    <a:stretch>
                      <a:fillRect/>
                    </a:stretch>
                  </pic:blipFill>
                  <pic:spPr>
                    <a:xfrm>
                      <a:off x="0" y="0"/>
                      <a:ext cx="5669280" cy="2869041"/>
                    </a:xfrm>
                    <a:prstGeom prst="rect"/>
                  </pic:spPr>
                </pic:pic>
              </a:graphicData>
            </a:graphic>
          </wp:inline>
        </w:drawing>
      </w:r>
    </w:p>
    <w:p>
      <w:pPr>
        <w:spacing w:after="140"/>
        <w:jc w:val="center"/>
      </w:pPr>
      <w:r>
        <w:rPr>
          <w:i/>
          <w:color w:val="475569"/>
          <w:sz w:val="17"/>
        </w:rPr>
        <w:t>Figure 8. Median cluster profiles relative to the other clusters.</w:t>
      </w:r>
    </w:p>
    <w:p>
      <w:pPr>
        <w:spacing w:after="100" w:line="269" w:lineRule="auto"/>
      </w:pPr>
      <w:r>
        <w:t>The best K-Means solution uses k=4. The silhouette score is moderate, so the profiles are exploratory rather than evidence of clinically distinct groups. K-Means and hierarchical clustering are compared through adjusted Rand agreement, recorded as 0.758.</w:t>
      </w:r>
    </w:p>
    <w:p>
      <w:pPr>
        <w:pStyle w:val="Heading1"/>
        <w:spacing w:before="160" w:after="120"/>
      </w:pPr>
      <w:r>
        <w:rPr>
          <w:b/>
          <w:color w:val="065F46"/>
        </w:rPr>
        <w:t>6. Model Development and Selection</w:t>
      </w:r>
    </w:p>
    <w:p>
      <w:pPr>
        <w:spacing w:after="100" w:line="269" w:lineRule="auto"/>
      </w:pPr>
      <w:r>
        <w:t>The project compares a majority-class baseline with linear, tree-based, kernel, boosting, neural-network and ensemble methods. XGBoost is included because it is the mentor-recommended upgrade model for classification. Two feed-forward neural-network architectures are also evaluated.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1FAE5"/>
            <w:vAlign w:val="center"/>
          </w:tcPr>
          <w:p>
            <w:pPr>
              <w:jc w:val="center"/>
            </w:pPr>
            <w:r>
              <w:rPr>
                <w:b/>
                <w:color w:val="065F46"/>
                <w:sz w:val="15"/>
              </w:rPr>
              <w:t>Model</w:t>
            </w:r>
          </w:p>
        </w:tc>
        <w:tc>
          <w:tcPr>
            <w:tcW w:type="dxa" w:w="2033"/>
            <w:shd w:fill="D1FAE5"/>
            <w:vAlign w:val="center"/>
          </w:tcPr>
          <w:p>
            <w:pPr>
              <w:jc w:val="center"/>
            </w:pPr>
            <w:r>
              <w:rPr>
                <w:b/>
                <w:color w:val="065F46"/>
                <w:sz w:val="15"/>
              </w:rPr>
              <w:t>Weighted F1</w:t>
            </w:r>
          </w:p>
        </w:tc>
        <w:tc>
          <w:tcPr>
            <w:tcW w:type="dxa" w:w="2033"/>
            <w:shd w:fill="D1FAE5"/>
            <w:vAlign w:val="center"/>
          </w:tcPr>
          <w:p>
            <w:pPr>
              <w:jc w:val="center"/>
            </w:pPr>
            <w:r>
              <w:rPr>
                <w:b/>
                <w:color w:val="065F46"/>
                <w:sz w:val="15"/>
              </w:rPr>
              <w:t>Macro F1</w:t>
            </w:r>
          </w:p>
        </w:tc>
        <w:tc>
          <w:tcPr>
            <w:tcW w:type="dxa" w:w="2033"/>
            <w:shd w:fill="D1FAE5"/>
            <w:vAlign w:val="center"/>
          </w:tcPr>
          <w:p>
            <w:pPr>
              <w:jc w:val="center"/>
            </w:pPr>
            <w:r>
              <w:rPr>
                <w:b/>
                <w:color w:val="065F46"/>
                <w:sz w:val="15"/>
              </w:rPr>
              <w:t>High Risk recall</w:t>
            </w:r>
          </w:p>
        </w:tc>
        <w:tc>
          <w:tcPr>
            <w:tcW w:type="dxa" w:w="2033"/>
            <w:shd w:fill="D1FAE5"/>
            <w:vAlign w:val="center"/>
          </w:tcPr>
          <w:p>
            <w:pPr>
              <w:jc w:val="center"/>
            </w:pPr>
            <w:r>
              <w:rPr>
                <w:b/>
                <w:color w:val="065F46"/>
                <w:sz w:val="15"/>
              </w:rPr>
              <w:t>Accuracy</w:t>
            </w:r>
          </w:p>
        </w:tc>
      </w:tr>
      <w:tr>
        <w:tc>
          <w:tcPr>
            <w:tcW w:type="dxa" w:w="2033"/>
            <w:vAlign w:val="center"/>
          </w:tcPr>
          <w:p>
            <w:pPr>
              <w:jc w:val="left"/>
            </w:pPr>
            <w:r>
              <w:rPr>
                <w:color w:val="0F172A"/>
                <w:sz w:val="15"/>
              </w:rPr>
              <w:t>ShallowMLP</w:t>
            </w:r>
          </w:p>
        </w:tc>
        <w:tc>
          <w:tcPr>
            <w:tcW w:type="dxa" w:w="2033"/>
            <w:vAlign w:val="center"/>
          </w:tcPr>
          <w:p>
            <w:pPr>
              <w:jc w:val="center"/>
            </w:pPr>
            <w:r>
              <w:rPr>
                <w:color w:val="0F172A"/>
                <w:sz w:val="15"/>
              </w:rPr>
              <w:t>0.746</w:t>
            </w:r>
          </w:p>
        </w:tc>
        <w:tc>
          <w:tcPr>
            <w:tcW w:type="dxa" w:w="2033"/>
            <w:vAlign w:val="center"/>
          </w:tcPr>
          <w:p>
            <w:pPr>
              <w:jc w:val="center"/>
            </w:pPr>
            <w:r>
              <w:rPr>
                <w:color w:val="0F172A"/>
                <w:sz w:val="15"/>
              </w:rPr>
              <w:t>0.749</w:t>
            </w:r>
          </w:p>
        </w:tc>
        <w:tc>
          <w:tcPr>
            <w:tcW w:type="dxa" w:w="2033"/>
            <w:vAlign w:val="center"/>
          </w:tcPr>
          <w:p>
            <w:pPr>
              <w:jc w:val="center"/>
            </w:pPr>
            <w:r>
              <w:rPr>
                <w:color w:val="0F172A"/>
                <w:sz w:val="15"/>
              </w:rPr>
              <w:t>0.778</w:t>
            </w:r>
          </w:p>
        </w:tc>
        <w:tc>
          <w:tcPr>
            <w:tcW w:type="dxa" w:w="2033"/>
            <w:vAlign w:val="center"/>
          </w:tcPr>
          <w:p>
            <w:pPr>
              <w:jc w:val="center"/>
            </w:pPr>
            <w:r>
              <w:rPr>
                <w:color w:val="0F172A"/>
                <w:sz w:val="15"/>
              </w:rPr>
              <w:t>0.744</w:t>
            </w:r>
          </w:p>
        </w:tc>
      </w:tr>
      <w:tr>
        <w:tc>
          <w:tcPr>
            <w:tcW w:type="dxa" w:w="2033"/>
            <w:vAlign w:val="center"/>
          </w:tcPr>
          <w:p>
            <w:pPr>
              <w:jc w:val="left"/>
            </w:pPr>
            <w:r>
              <w:rPr>
                <w:color w:val="0F172A"/>
                <w:sz w:val="15"/>
              </w:rPr>
              <w:t>SoftVoting</w:t>
            </w:r>
          </w:p>
        </w:tc>
        <w:tc>
          <w:tcPr>
            <w:tcW w:type="dxa" w:w="2033"/>
            <w:vAlign w:val="center"/>
          </w:tcPr>
          <w:p>
            <w:pPr>
              <w:jc w:val="center"/>
            </w:pPr>
            <w:r>
              <w:rPr>
                <w:color w:val="0F172A"/>
                <w:sz w:val="15"/>
              </w:rPr>
              <w:t>0.722</w:t>
            </w:r>
          </w:p>
        </w:tc>
        <w:tc>
          <w:tcPr>
            <w:tcW w:type="dxa" w:w="2033"/>
            <w:vAlign w:val="center"/>
          </w:tcPr>
          <w:p>
            <w:pPr>
              <w:jc w:val="center"/>
            </w:pPr>
            <w:r>
              <w:rPr>
                <w:color w:val="0F172A"/>
                <w:sz w:val="15"/>
              </w:rPr>
              <w:t>0.720</w:t>
            </w:r>
          </w:p>
        </w:tc>
        <w:tc>
          <w:tcPr>
            <w:tcW w:type="dxa" w:w="2033"/>
            <w:vAlign w:val="center"/>
          </w:tcPr>
          <w:p>
            <w:pPr>
              <w:jc w:val="center"/>
            </w:pPr>
            <w:r>
              <w:rPr>
                <w:color w:val="0F172A"/>
                <w:sz w:val="15"/>
              </w:rPr>
              <w:t>0.796</w:t>
            </w:r>
          </w:p>
        </w:tc>
        <w:tc>
          <w:tcPr>
            <w:tcW w:type="dxa" w:w="2033"/>
            <w:vAlign w:val="center"/>
          </w:tcPr>
          <w:p>
            <w:pPr>
              <w:jc w:val="center"/>
            </w:pPr>
            <w:r>
              <w:rPr>
                <w:color w:val="0F172A"/>
                <w:sz w:val="15"/>
              </w:rPr>
              <w:t>0.719</w:t>
            </w:r>
          </w:p>
        </w:tc>
      </w:tr>
      <w:tr>
        <w:tc>
          <w:tcPr>
            <w:tcW w:type="dxa" w:w="2033"/>
            <w:vAlign w:val="center"/>
          </w:tcPr>
          <w:p>
            <w:pPr>
              <w:jc w:val="left"/>
            </w:pPr>
            <w:r>
              <w:rPr>
                <w:color w:val="0F172A"/>
                <w:sz w:val="15"/>
              </w:rPr>
              <w:t>LogisticRegression</w:t>
            </w:r>
          </w:p>
        </w:tc>
        <w:tc>
          <w:tcPr>
            <w:tcW w:type="dxa" w:w="2033"/>
            <w:vAlign w:val="center"/>
          </w:tcPr>
          <w:p>
            <w:pPr>
              <w:jc w:val="center"/>
            </w:pPr>
            <w:r>
              <w:rPr>
                <w:color w:val="0F172A"/>
                <w:sz w:val="15"/>
              </w:rPr>
              <w:t>0.690</w:t>
            </w:r>
          </w:p>
        </w:tc>
        <w:tc>
          <w:tcPr>
            <w:tcW w:type="dxa" w:w="2033"/>
            <w:vAlign w:val="center"/>
          </w:tcPr>
          <w:p>
            <w:pPr>
              <w:jc w:val="center"/>
            </w:pPr>
            <w:r>
              <w:rPr>
                <w:color w:val="0F172A"/>
                <w:sz w:val="15"/>
              </w:rPr>
              <w:t>0.691</w:t>
            </w:r>
          </w:p>
        </w:tc>
        <w:tc>
          <w:tcPr>
            <w:tcW w:type="dxa" w:w="2033"/>
            <w:vAlign w:val="center"/>
          </w:tcPr>
          <w:p>
            <w:pPr>
              <w:jc w:val="center"/>
            </w:pPr>
            <w:r>
              <w:rPr>
                <w:color w:val="0F172A"/>
                <w:sz w:val="15"/>
              </w:rPr>
              <w:t>0.778</w:t>
            </w:r>
          </w:p>
        </w:tc>
        <w:tc>
          <w:tcPr>
            <w:tcW w:type="dxa" w:w="2033"/>
            <w:vAlign w:val="center"/>
          </w:tcPr>
          <w:p>
            <w:pPr>
              <w:jc w:val="center"/>
            </w:pPr>
            <w:r>
              <w:rPr>
                <w:color w:val="0F172A"/>
                <w:sz w:val="15"/>
              </w:rPr>
              <w:t>0.685</w:t>
            </w:r>
          </w:p>
        </w:tc>
      </w:tr>
      <w:tr>
        <w:tc>
          <w:tcPr>
            <w:tcW w:type="dxa" w:w="2033"/>
            <w:vAlign w:val="center"/>
          </w:tcPr>
          <w:p>
            <w:pPr>
              <w:jc w:val="left"/>
            </w:pPr>
            <w:r>
              <w:rPr>
                <w:color w:val="0F172A"/>
                <w:sz w:val="15"/>
              </w:rPr>
              <w:t>RandomForest</w:t>
            </w:r>
          </w:p>
        </w:tc>
        <w:tc>
          <w:tcPr>
            <w:tcW w:type="dxa" w:w="2033"/>
            <w:vAlign w:val="center"/>
          </w:tcPr>
          <w:p>
            <w:pPr>
              <w:jc w:val="center"/>
            </w:pPr>
            <w:r>
              <w:rPr>
                <w:color w:val="0F172A"/>
                <w:sz w:val="15"/>
              </w:rPr>
              <w:t>0.676</w:t>
            </w:r>
          </w:p>
        </w:tc>
        <w:tc>
          <w:tcPr>
            <w:tcW w:type="dxa" w:w="2033"/>
            <w:vAlign w:val="center"/>
          </w:tcPr>
          <w:p>
            <w:pPr>
              <w:jc w:val="center"/>
            </w:pPr>
            <w:r>
              <w:rPr>
                <w:color w:val="0F172A"/>
                <w:sz w:val="15"/>
              </w:rPr>
              <w:t>0.676</w:t>
            </w:r>
          </w:p>
        </w:tc>
        <w:tc>
          <w:tcPr>
            <w:tcW w:type="dxa" w:w="2033"/>
            <w:vAlign w:val="center"/>
          </w:tcPr>
          <w:p>
            <w:pPr>
              <w:jc w:val="center"/>
            </w:pPr>
            <w:r>
              <w:rPr>
                <w:color w:val="0F172A"/>
                <w:sz w:val="15"/>
              </w:rPr>
              <w:t>0.759</w:t>
            </w:r>
          </w:p>
        </w:tc>
        <w:tc>
          <w:tcPr>
            <w:tcW w:type="dxa" w:w="2033"/>
            <w:vAlign w:val="center"/>
          </w:tcPr>
          <w:p>
            <w:pPr>
              <w:jc w:val="center"/>
            </w:pPr>
            <w:r>
              <w:rPr>
                <w:color w:val="0F172A"/>
                <w:sz w:val="15"/>
              </w:rPr>
              <w:t>0.675</w:t>
            </w:r>
          </w:p>
        </w:tc>
      </w:tr>
      <w:tr>
        <w:tc>
          <w:tcPr>
            <w:tcW w:type="dxa" w:w="2033"/>
            <w:vAlign w:val="center"/>
          </w:tcPr>
          <w:p>
            <w:pPr>
              <w:jc w:val="left"/>
            </w:pPr>
            <w:r>
              <w:rPr>
                <w:color w:val="0F172A"/>
                <w:sz w:val="15"/>
              </w:rPr>
              <w:t>DecisionTree</w:t>
            </w:r>
          </w:p>
        </w:tc>
        <w:tc>
          <w:tcPr>
            <w:tcW w:type="dxa" w:w="2033"/>
            <w:vAlign w:val="center"/>
          </w:tcPr>
          <w:p>
            <w:pPr>
              <w:jc w:val="center"/>
            </w:pPr>
            <w:r>
              <w:rPr>
                <w:color w:val="0F172A"/>
                <w:sz w:val="15"/>
              </w:rPr>
              <w:t>0.659</w:t>
            </w:r>
          </w:p>
        </w:tc>
        <w:tc>
          <w:tcPr>
            <w:tcW w:type="dxa" w:w="2033"/>
            <w:vAlign w:val="center"/>
          </w:tcPr>
          <w:p>
            <w:pPr>
              <w:jc w:val="center"/>
            </w:pPr>
            <w:r>
              <w:rPr>
                <w:color w:val="0F172A"/>
                <w:sz w:val="15"/>
              </w:rPr>
              <w:t>0.661</w:t>
            </w:r>
          </w:p>
        </w:tc>
        <w:tc>
          <w:tcPr>
            <w:tcW w:type="dxa" w:w="2033"/>
            <w:vAlign w:val="center"/>
          </w:tcPr>
          <w:p>
            <w:pPr>
              <w:jc w:val="center"/>
            </w:pPr>
            <w:r>
              <w:rPr>
                <w:color w:val="0F172A"/>
                <w:sz w:val="15"/>
              </w:rPr>
              <w:t>0.741</w:t>
            </w:r>
          </w:p>
        </w:tc>
        <w:tc>
          <w:tcPr>
            <w:tcW w:type="dxa" w:w="2033"/>
            <w:vAlign w:val="center"/>
          </w:tcPr>
          <w:p>
            <w:pPr>
              <w:jc w:val="center"/>
            </w:pPr>
            <w:r>
              <w:rPr>
                <w:color w:val="0F172A"/>
                <w:sz w:val="15"/>
              </w:rPr>
              <w:t>0.655</w:t>
            </w:r>
          </w:p>
        </w:tc>
      </w:tr>
      <w:tr>
        <w:tc>
          <w:tcPr>
            <w:tcW w:type="dxa" w:w="2033"/>
            <w:vAlign w:val="center"/>
          </w:tcPr>
          <w:p>
            <w:pPr>
              <w:jc w:val="left"/>
            </w:pPr>
            <w:r>
              <w:rPr>
                <w:color w:val="0F172A"/>
                <w:sz w:val="15"/>
              </w:rPr>
              <w:t>DeepMLP</w:t>
            </w:r>
          </w:p>
        </w:tc>
        <w:tc>
          <w:tcPr>
            <w:tcW w:type="dxa" w:w="2033"/>
            <w:vAlign w:val="center"/>
          </w:tcPr>
          <w:p>
            <w:pPr>
              <w:jc w:val="center"/>
            </w:pPr>
            <w:r>
              <w:rPr>
                <w:color w:val="0F172A"/>
                <w:sz w:val="15"/>
              </w:rPr>
              <w:t>0.657</w:t>
            </w:r>
          </w:p>
        </w:tc>
        <w:tc>
          <w:tcPr>
            <w:tcW w:type="dxa" w:w="2033"/>
            <w:vAlign w:val="center"/>
          </w:tcPr>
          <w:p>
            <w:pPr>
              <w:jc w:val="center"/>
            </w:pPr>
            <w:r>
              <w:rPr>
                <w:color w:val="0F172A"/>
                <w:sz w:val="15"/>
              </w:rPr>
              <w:t>0.661</w:t>
            </w:r>
          </w:p>
        </w:tc>
        <w:tc>
          <w:tcPr>
            <w:tcW w:type="dxa" w:w="2033"/>
            <w:vAlign w:val="center"/>
          </w:tcPr>
          <w:p>
            <w:pPr>
              <w:jc w:val="center"/>
            </w:pPr>
            <w:r>
              <w:rPr>
                <w:color w:val="0F172A"/>
                <w:sz w:val="15"/>
              </w:rPr>
              <w:t>0.815</w:t>
            </w:r>
          </w:p>
        </w:tc>
        <w:tc>
          <w:tcPr>
            <w:tcW w:type="dxa" w:w="2033"/>
            <w:vAlign w:val="center"/>
          </w:tcPr>
          <w:p>
            <w:pPr>
              <w:jc w:val="center"/>
            </w:pPr>
            <w:r>
              <w:rPr>
                <w:color w:val="0F172A"/>
                <w:sz w:val="15"/>
              </w:rPr>
              <w:t>0.655</w:t>
            </w:r>
          </w:p>
        </w:tc>
      </w:tr>
      <w:tr>
        <w:tc>
          <w:tcPr>
            <w:tcW w:type="dxa" w:w="2033"/>
            <w:vAlign w:val="center"/>
          </w:tcPr>
          <w:p>
            <w:pPr>
              <w:jc w:val="left"/>
            </w:pPr>
            <w:r>
              <w:rPr>
                <w:color w:val="0F172A"/>
                <w:sz w:val="15"/>
              </w:rPr>
              <w:t>GradientBoosting</w:t>
            </w:r>
          </w:p>
        </w:tc>
        <w:tc>
          <w:tcPr>
            <w:tcW w:type="dxa" w:w="2033"/>
            <w:vAlign w:val="center"/>
          </w:tcPr>
          <w:p>
            <w:pPr>
              <w:jc w:val="center"/>
            </w:pPr>
            <w:r>
              <w:rPr>
                <w:color w:val="0F172A"/>
                <w:sz w:val="15"/>
              </w:rPr>
              <w:t>0.652</w:t>
            </w:r>
          </w:p>
        </w:tc>
        <w:tc>
          <w:tcPr>
            <w:tcW w:type="dxa" w:w="2033"/>
            <w:vAlign w:val="center"/>
          </w:tcPr>
          <w:p>
            <w:pPr>
              <w:jc w:val="center"/>
            </w:pPr>
            <w:r>
              <w:rPr>
                <w:color w:val="0F172A"/>
                <w:sz w:val="15"/>
              </w:rPr>
              <w:t>0.650</w:t>
            </w:r>
          </w:p>
        </w:tc>
        <w:tc>
          <w:tcPr>
            <w:tcW w:type="dxa" w:w="2033"/>
            <w:vAlign w:val="center"/>
          </w:tcPr>
          <w:p>
            <w:pPr>
              <w:jc w:val="center"/>
            </w:pPr>
            <w:r>
              <w:rPr>
                <w:color w:val="0F172A"/>
                <w:sz w:val="15"/>
              </w:rPr>
              <w:t>0.759</w:t>
            </w:r>
          </w:p>
        </w:tc>
        <w:tc>
          <w:tcPr>
            <w:tcW w:type="dxa" w:w="2033"/>
            <w:vAlign w:val="center"/>
          </w:tcPr>
          <w:p>
            <w:pPr>
              <w:jc w:val="center"/>
            </w:pPr>
            <w:r>
              <w:rPr>
                <w:color w:val="0F172A"/>
                <w:sz w:val="15"/>
              </w:rPr>
              <w:t>0.670</w:t>
            </w:r>
          </w:p>
        </w:tc>
      </w:tr>
      <w:tr>
        <w:tc>
          <w:tcPr>
            <w:tcW w:type="dxa" w:w="2033"/>
            <w:vAlign w:val="center"/>
          </w:tcPr>
          <w:p>
            <w:pPr>
              <w:jc w:val="left"/>
            </w:pPr>
            <w:r>
              <w:rPr>
                <w:color w:val="0F172A"/>
                <w:sz w:val="15"/>
              </w:rPr>
              <w:t>SVC</w:t>
            </w:r>
          </w:p>
        </w:tc>
        <w:tc>
          <w:tcPr>
            <w:tcW w:type="dxa" w:w="2033"/>
            <w:vAlign w:val="center"/>
          </w:tcPr>
          <w:p>
            <w:pPr>
              <w:jc w:val="center"/>
            </w:pPr>
            <w:r>
              <w:rPr>
                <w:color w:val="0F172A"/>
                <w:sz w:val="15"/>
              </w:rPr>
              <w:t>0.643</w:t>
            </w:r>
          </w:p>
        </w:tc>
        <w:tc>
          <w:tcPr>
            <w:tcW w:type="dxa" w:w="2033"/>
            <w:vAlign w:val="center"/>
          </w:tcPr>
          <w:p>
            <w:pPr>
              <w:jc w:val="center"/>
            </w:pPr>
            <w:r>
              <w:rPr>
                <w:color w:val="0F172A"/>
                <w:sz w:val="15"/>
              </w:rPr>
              <w:t>0.640</w:t>
            </w:r>
          </w:p>
        </w:tc>
        <w:tc>
          <w:tcPr>
            <w:tcW w:type="dxa" w:w="2033"/>
            <w:vAlign w:val="center"/>
          </w:tcPr>
          <w:p>
            <w:pPr>
              <w:jc w:val="center"/>
            </w:pPr>
            <w:r>
              <w:rPr>
                <w:color w:val="0F172A"/>
                <w:sz w:val="15"/>
              </w:rPr>
              <w:t>0.796</w:t>
            </w:r>
          </w:p>
        </w:tc>
        <w:tc>
          <w:tcPr>
            <w:tcW w:type="dxa" w:w="2033"/>
            <w:vAlign w:val="center"/>
          </w:tcPr>
          <w:p>
            <w:pPr>
              <w:jc w:val="center"/>
            </w:pPr>
            <w:r>
              <w:rPr>
                <w:color w:val="0F172A"/>
                <w:sz w:val="15"/>
              </w:rPr>
              <w:t>0.660</w:t>
            </w:r>
          </w:p>
        </w:tc>
      </w:tr>
      <w:tr>
        <w:tc>
          <w:tcPr>
            <w:tcW w:type="dxa" w:w="2033"/>
            <w:vAlign w:val="center"/>
          </w:tcPr>
          <w:p>
            <w:pPr>
              <w:jc w:val="left"/>
            </w:pPr>
            <w:r>
              <w:rPr>
                <w:color w:val="0F172A"/>
                <w:sz w:val="15"/>
              </w:rPr>
              <w:t>XGBoost</w:t>
            </w:r>
          </w:p>
        </w:tc>
        <w:tc>
          <w:tcPr>
            <w:tcW w:type="dxa" w:w="2033"/>
            <w:vAlign w:val="center"/>
          </w:tcPr>
          <w:p>
            <w:pPr>
              <w:jc w:val="center"/>
            </w:pPr>
            <w:r>
              <w:rPr>
                <w:color w:val="0F172A"/>
                <w:sz w:val="15"/>
              </w:rPr>
              <w:t>0.608</w:t>
            </w:r>
          </w:p>
        </w:tc>
        <w:tc>
          <w:tcPr>
            <w:tcW w:type="dxa" w:w="2033"/>
            <w:vAlign w:val="center"/>
          </w:tcPr>
          <w:p>
            <w:pPr>
              <w:jc w:val="center"/>
            </w:pPr>
            <w:r>
              <w:rPr>
                <w:color w:val="0F172A"/>
                <w:sz w:val="15"/>
              </w:rPr>
              <w:t>0.608</w:t>
            </w:r>
          </w:p>
        </w:tc>
        <w:tc>
          <w:tcPr>
            <w:tcW w:type="dxa" w:w="2033"/>
            <w:vAlign w:val="center"/>
          </w:tcPr>
          <w:p>
            <w:pPr>
              <w:jc w:val="center"/>
            </w:pPr>
            <w:r>
              <w:rPr>
                <w:color w:val="0F172A"/>
                <w:sz w:val="15"/>
              </w:rPr>
              <w:t>0.741</w:t>
            </w:r>
          </w:p>
        </w:tc>
        <w:tc>
          <w:tcPr>
            <w:tcW w:type="dxa" w:w="2033"/>
            <w:vAlign w:val="center"/>
          </w:tcPr>
          <w:p>
            <w:pPr>
              <w:jc w:val="center"/>
            </w:pPr>
            <w:r>
              <w:rPr>
                <w:color w:val="0F172A"/>
                <w:sz w:val="15"/>
              </w:rPr>
              <w:t>0.631</w:t>
            </w:r>
          </w:p>
        </w:tc>
      </w:tr>
      <w:tr>
        <w:tc>
          <w:tcPr>
            <w:tcW w:type="dxa" w:w="2033"/>
            <w:vAlign w:val="center"/>
          </w:tcPr>
          <w:p>
            <w:pPr>
              <w:jc w:val="left"/>
            </w:pPr>
            <w:r>
              <w:rPr>
                <w:color w:val="0F172A"/>
                <w:sz w:val="15"/>
              </w:rPr>
              <w:t>MajorityBaseline</w:t>
            </w:r>
          </w:p>
        </w:tc>
        <w:tc>
          <w:tcPr>
            <w:tcW w:type="dxa" w:w="2033"/>
            <w:vAlign w:val="center"/>
          </w:tcPr>
          <w:p>
            <w:pPr>
              <w:jc w:val="center"/>
            </w:pPr>
            <w:r>
              <w:rPr>
                <w:color w:val="0F172A"/>
                <w:sz w:val="15"/>
              </w:rPr>
              <w:t>0.232</w:t>
            </w:r>
          </w:p>
        </w:tc>
        <w:tc>
          <w:tcPr>
            <w:tcW w:type="dxa" w:w="2033"/>
            <w:vAlign w:val="center"/>
          </w:tcPr>
          <w:p>
            <w:pPr>
              <w:jc w:val="center"/>
            </w:pPr>
            <w:r>
              <w:rPr>
                <w:color w:val="0F172A"/>
                <w:sz w:val="15"/>
              </w:rPr>
              <w:t>0.192</w:t>
            </w:r>
          </w:p>
        </w:tc>
        <w:tc>
          <w:tcPr>
            <w:tcW w:type="dxa" w:w="2033"/>
            <w:vAlign w:val="center"/>
          </w:tcPr>
          <w:p>
            <w:pPr>
              <w:jc w:val="center"/>
            </w:pPr>
            <w:r>
              <w:rPr>
                <w:color w:val="0F172A"/>
                <w:sz w:val="15"/>
              </w:rPr>
              <w:t>0.000</w:t>
            </w:r>
          </w:p>
        </w:tc>
        <w:tc>
          <w:tcPr>
            <w:tcW w:type="dxa" w:w="2033"/>
            <w:vAlign w:val="center"/>
          </w:tcPr>
          <w:p>
            <w:pPr>
              <w:jc w:val="center"/>
            </w:pPr>
            <w:r>
              <w:rPr>
                <w:color w:val="0F172A"/>
                <w:sz w:val="15"/>
              </w:rPr>
              <w:t>0.404</w:t>
            </w:r>
          </w:p>
        </w:tc>
      </w:tr>
    </w:tbl>
    <w:p>
      <w:pPr>
        <w:spacing w:after="20"/>
      </w:pPr>
    </w:p>
    <w:p>
      <w:pPr>
        <w:jc w:val="center"/>
      </w:pPr>
      <w:r>
        <w:drawing>
          <wp:inline xmlns:a="http://schemas.openxmlformats.org/drawingml/2006/main" xmlns:pic="http://schemas.openxmlformats.org/drawingml/2006/picture">
            <wp:extent cx="5669280" cy="3729602"/>
            <wp:docPr id="10" name="Picture 10"/>
            <wp:cNvGraphicFramePr>
              <a:graphicFrameLocks noChangeAspect="1"/>
            </wp:cNvGraphicFramePr>
            <a:graphic>
              <a:graphicData uri="http://schemas.openxmlformats.org/drawingml/2006/picture">
                <pic:pic>
                  <pic:nvPicPr>
                    <pic:cNvPr id="0" name="model_comparison_weighted_f1.png"/>
                    <pic:cNvPicPr/>
                  </pic:nvPicPr>
                  <pic:blipFill>
                    <a:blip r:embed="rId20"/>
                    <a:stretch>
                      <a:fillRect/>
                    </a:stretch>
                  </pic:blipFill>
                  <pic:spPr>
                    <a:xfrm>
                      <a:off x="0" y="0"/>
                      <a:ext cx="5669280" cy="3729602"/>
                    </a:xfrm>
                    <a:prstGeom prst="rect"/>
                  </pic:spPr>
                </pic:pic>
              </a:graphicData>
            </a:graphic>
          </wp:inline>
        </w:drawing>
      </w:r>
    </w:p>
    <w:p>
      <w:pPr>
        <w:spacing w:after="140"/>
        <w:jc w:val="center"/>
      </w:pPr>
      <w:r>
        <w:rPr>
          <w:i/>
          <w:color w:val="475569"/>
          <w:sz w:val="17"/>
        </w:rPr>
        <w:t>Figure 9. Candidate models ranked on validation Weighted F1.</w:t>
      </w:r>
    </w:p>
    <w:p>
      <w:pPr>
        <w:pStyle w:val="Heading2"/>
        <w:spacing w:before="160" w:after="120"/>
      </w:pPr>
      <w:r>
        <w:rPr>
          <w:b/>
          <w:color w:val="047857"/>
        </w:rPr>
        <w:t>6.1 Neural-network comparison</w:t>
      </w:r>
    </w:p>
    <w:p>
      <w:pPr>
        <w:spacing w:after="100" w:line="269" w:lineRule="auto"/>
      </w:pPr>
      <w:r>
        <w:t>The shallow architecture uses one hidden layer, while the deeper architecture uses three hidden layers. Both use ReLU activation, L2 regularization and early stopping. The shallow model performed better, showing that additional depth did not help this small and noisy dataset.</w:t>
      </w:r>
    </w:p>
    <w:p>
      <w:pPr>
        <w:jc w:val="center"/>
      </w:pPr>
      <w:r>
        <w:drawing>
          <wp:inline xmlns:a="http://schemas.openxmlformats.org/drawingml/2006/main" xmlns:pic="http://schemas.openxmlformats.org/drawingml/2006/picture">
            <wp:extent cx="5852160" cy="2329314"/>
            <wp:docPr id="11" name="Picture 11"/>
            <wp:cNvGraphicFramePr>
              <a:graphicFrameLocks noChangeAspect="1"/>
            </wp:cNvGraphicFramePr>
            <a:graphic>
              <a:graphicData uri="http://schemas.openxmlformats.org/drawingml/2006/picture">
                <pic:pic>
                  <pic:nvPicPr>
                    <pic:cNvPr id="0" name="neural_network_training_curves.png"/>
                    <pic:cNvPicPr/>
                  </pic:nvPicPr>
                  <pic:blipFill>
                    <a:blip r:embed="rId21"/>
                    <a:stretch>
                      <a:fillRect/>
                    </a:stretch>
                  </pic:blipFill>
                  <pic:spPr>
                    <a:xfrm>
                      <a:off x="0" y="0"/>
                      <a:ext cx="5852160" cy="2329314"/>
                    </a:xfrm>
                    <a:prstGeom prst="rect"/>
                  </pic:spPr>
                </pic:pic>
              </a:graphicData>
            </a:graphic>
          </wp:inline>
        </w:drawing>
      </w:r>
    </w:p>
    <w:p>
      <w:pPr>
        <w:spacing w:after="140"/>
        <w:jc w:val="center"/>
      </w:pPr>
      <w:r>
        <w:rPr>
          <w:i/>
          <w:color w:val="475569"/>
          <w:sz w:val="17"/>
        </w:rPr>
        <w:t>Figure 10. Training loss and internal validation accuracy for both MLP architectures.</w:t>
      </w:r>
    </w:p>
    <w:p>
      <w:pPr>
        <w:pStyle w:val="Heading1"/>
        <w:spacing w:before="160" w:after="120"/>
      </w:pPr>
      <w:r>
        <w:rPr>
          <w:b/>
          <w:color w:val="065F46"/>
        </w:rPr>
        <w:t>7. Final Evaluation</w:t>
      </w:r>
    </w:p>
    <w:p>
      <w:pPr>
        <w:pStyle w:val="Heading2"/>
        <w:spacing w:before="160" w:after="120"/>
      </w:pPr>
      <w:r>
        <w:rPr>
          <w:b/>
          <w:color w:val="047857"/>
        </w:rPr>
        <w:t>7.1 Baseline Comparison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1FAE5"/>
            <w:vAlign w:val="center"/>
          </w:tcPr>
          <w:p>
            <w:pPr>
              <w:jc w:val="center"/>
            </w:pPr>
            <w:r>
              <w:rPr>
                <w:b/>
                <w:color w:val="065F46"/>
                <w:sz w:val="17"/>
              </w:rPr>
              <w:t>Metric</w:t>
            </w:r>
          </w:p>
        </w:tc>
        <w:tc>
          <w:tcPr>
            <w:tcW w:type="dxa" w:w="2541"/>
            <w:shd w:fill="D1FAE5"/>
            <w:vAlign w:val="center"/>
          </w:tcPr>
          <w:p>
            <w:pPr>
              <w:jc w:val="center"/>
            </w:pPr>
            <w:r>
              <w:rPr>
                <w:b/>
                <w:color w:val="065F46"/>
                <w:sz w:val="17"/>
              </w:rPr>
              <w:t>Majority baseline</w:t>
            </w:r>
          </w:p>
        </w:tc>
        <w:tc>
          <w:tcPr>
            <w:tcW w:type="dxa" w:w="2541"/>
            <w:shd w:fill="D1FAE5"/>
            <w:vAlign w:val="center"/>
          </w:tcPr>
          <w:p>
            <w:pPr>
              <w:jc w:val="center"/>
            </w:pPr>
            <w:r>
              <w:rPr>
                <w:b/>
                <w:color w:val="065F46"/>
                <w:sz w:val="17"/>
              </w:rPr>
              <w:t>ShallowMLP</w:t>
            </w:r>
          </w:p>
        </w:tc>
        <w:tc>
          <w:tcPr>
            <w:tcW w:type="dxa" w:w="2541"/>
            <w:shd w:fill="D1FAE5"/>
            <w:vAlign w:val="center"/>
          </w:tcPr>
          <w:p>
            <w:pPr>
              <w:jc w:val="center"/>
            </w:pPr>
            <w:r>
              <w:rPr>
                <w:b/>
                <w:color w:val="065F46"/>
                <w:sz w:val="17"/>
              </w:rPr>
              <w:t>Improvement</w:t>
            </w:r>
          </w:p>
        </w:tc>
      </w:tr>
      <w:tr>
        <w:tc>
          <w:tcPr>
            <w:tcW w:type="dxa" w:w="2541"/>
            <w:vAlign w:val="center"/>
          </w:tcPr>
          <w:p>
            <w:pPr>
              <w:jc w:val="left"/>
            </w:pPr>
            <w:r>
              <w:rPr>
                <w:color w:val="0F172A"/>
                <w:sz w:val="17"/>
              </w:rPr>
              <w:t>Accuracy</w:t>
            </w:r>
          </w:p>
        </w:tc>
        <w:tc>
          <w:tcPr>
            <w:tcW w:type="dxa" w:w="2541"/>
            <w:vAlign w:val="center"/>
          </w:tcPr>
          <w:p>
            <w:pPr>
              <w:jc w:val="center"/>
            </w:pPr>
            <w:r>
              <w:rPr>
                <w:color w:val="0F172A"/>
                <w:sz w:val="17"/>
              </w:rPr>
              <w:t>0.399</w:t>
            </w:r>
          </w:p>
        </w:tc>
        <w:tc>
          <w:tcPr>
            <w:tcW w:type="dxa" w:w="2541"/>
            <w:vAlign w:val="center"/>
          </w:tcPr>
          <w:p>
            <w:pPr>
              <w:jc w:val="center"/>
            </w:pPr>
            <w:r>
              <w:rPr>
                <w:color w:val="0F172A"/>
                <w:sz w:val="17"/>
              </w:rPr>
              <w:t>0.601</w:t>
            </w:r>
          </w:p>
        </w:tc>
        <w:tc>
          <w:tcPr>
            <w:tcW w:type="dxa" w:w="2541"/>
            <w:vAlign w:val="center"/>
          </w:tcPr>
          <w:p>
            <w:pPr>
              <w:jc w:val="center"/>
            </w:pPr>
            <w:r>
              <w:rPr>
                <w:color w:val="0F172A"/>
                <w:sz w:val="17"/>
              </w:rPr>
              <w:t>0.202</w:t>
            </w:r>
          </w:p>
        </w:tc>
      </w:tr>
      <w:tr>
        <w:tc>
          <w:tcPr>
            <w:tcW w:type="dxa" w:w="2541"/>
            <w:vAlign w:val="center"/>
          </w:tcPr>
          <w:p>
            <w:pPr>
              <w:jc w:val="left"/>
            </w:pPr>
            <w:r>
              <w:rPr>
                <w:color w:val="0F172A"/>
                <w:sz w:val="17"/>
              </w:rPr>
              <w:t>Weighted F1</w:t>
            </w:r>
          </w:p>
        </w:tc>
        <w:tc>
          <w:tcPr>
            <w:tcW w:type="dxa" w:w="2541"/>
            <w:vAlign w:val="center"/>
          </w:tcPr>
          <w:p>
            <w:pPr>
              <w:jc w:val="center"/>
            </w:pPr>
            <w:r>
              <w:rPr>
                <w:color w:val="0F172A"/>
                <w:sz w:val="17"/>
              </w:rPr>
              <w:t>0.228</w:t>
            </w:r>
          </w:p>
        </w:tc>
        <w:tc>
          <w:tcPr>
            <w:tcW w:type="dxa" w:w="2541"/>
            <w:vAlign w:val="center"/>
          </w:tcPr>
          <w:p>
            <w:pPr>
              <w:jc w:val="center"/>
            </w:pPr>
            <w:r>
              <w:rPr>
                <w:color w:val="0F172A"/>
                <w:sz w:val="17"/>
              </w:rPr>
              <w:t>0.562</w:t>
            </w:r>
          </w:p>
        </w:tc>
        <w:tc>
          <w:tcPr>
            <w:tcW w:type="dxa" w:w="2541"/>
            <w:vAlign w:val="center"/>
          </w:tcPr>
          <w:p>
            <w:pPr>
              <w:jc w:val="center"/>
            </w:pPr>
            <w:r>
              <w:rPr>
                <w:color w:val="0F172A"/>
                <w:sz w:val="17"/>
              </w:rPr>
              <w:t>0.334</w:t>
            </w:r>
          </w:p>
        </w:tc>
      </w:tr>
      <w:tr>
        <w:tc>
          <w:tcPr>
            <w:tcW w:type="dxa" w:w="2541"/>
            <w:vAlign w:val="center"/>
          </w:tcPr>
          <w:p>
            <w:pPr>
              <w:jc w:val="left"/>
            </w:pPr>
            <w:r>
              <w:rPr>
                <w:color w:val="0F172A"/>
                <w:sz w:val="17"/>
              </w:rPr>
              <w:t>Macro F1</w:t>
            </w:r>
          </w:p>
        </w:tc>
        <w:tc>
          <w:tcPr>
            <w:tcW w:type="dxa" w:w="2541"/>
            <w:vAlign w:val="center"/>
          </w:tcPr>
          <w:p>
            <w:pPr>
              <w:jc w:val="center"/>
            </w:pPr>
            <w:r>
              <w:rPr>
                <w:color w:val="0F172A"/>
                <w:sz w:val="17"/>
              </w:rPr>
              <w:t>0.190</w:t>
            </w:r>
          </w:p>
        </w:tc>
        <w:tc>
          <w:tcPr>
            <w:tcW w:type="dxa" w:w="2541"/>
            <w:vAlign w:val="center"/>
          </w:tcPr>
          <w:p>
            <w:pPr>
              <w:jc w:val="center"/>
            </w:pPr>
            <w:r>
              <w:rPr>
                <w:color w:val="0F172A"/>
                <w:sz w:val="17"/>
              </w:rPr>
              <w:t>0.574</w:t>
            </w:r>
          </w:p>
        </w:tc>
        <w:tc>
          <w:tcPr>
            <w:tcW w:type="dxa" w:w="2541"/>
            <w:vAlign w:val="center"/>
          </w:tcPr>
          <w:p>
            <w:pPr>
              <w:jc w:val="center"/>
            </w:pPr>
            <w:r>
              <w:rPr>
                <w:color w:val="0F172A"/>
                <w:sz w:val="17"/>
              </w:rPr>
              <w:t>0.384</w:t>
            </w:r>
          </w:p>
        </w:tc>
      </w:tr>
      <w:tr>
        <w:tc>
          <w:tcPr>
            <w:tcW w:type="dxa" w:w="2541"/>
            <w:vAlign w:val="center"/>
          </w:tcPr>
          <w:p>
            <w:pPr>
              <w:jc w:val="left"/>
            </w:pPr>
            <w:r>
              <w:rPr>
                <w:color w:val="0F172A"/>
                <w:sz w:val="17"/>
              </w:rPr>
              <w:t>High Risk Recall</w:t>
            </w:r>
          </w:p>
        </w:tc>
        <w:tc>
          <w:tcPr>
            <w:tcW w:type="dxa" w:w="2541"/>
            <w:vAlign w:val="center"/>
          </w:tcPr>
          <w:p>
            <w:pPr>
              <w:jc w:val="center"/>
            </w:pPr>
            <w:r>
              <w:rPr>
                <w:color w:val="0F172A"/>
                <w:sz w:val="17"/>
              </w:rPr>
              <w:t>0.000</w:t>
            </w:r>
          </w:p>
        </w:tc>
        <w:tc>
          <w:tcPr>
            <w:tcW w:type="dxa" w:w="2541"/>
            <w:vAlign w:val="center"/>
          </w:tcPr>
          <w:p>
            <w:pPr>
              <w:jc w:val="center"/>
            </w:pPr>
            <w:r>
              <w:rPr>
                <w:color w:val="0F172A"/>
                <w:sz w:val="17"/>
              </w:rPr>
              <w:t>0.818</w:t>
            </w:r>
          </w:p>
        </w:tc>
        <w:tc>
          <w:tcPr>
            <w:tcW w:type="dxa" w:w="2541"/>
            <w:vAlign w:val="center"/>
          </w:tcPr>
          <w:p>
            <w:pPr>
              <w:jc w:val="center"/>
            </w:pPr>
            <w:r>
              <w:rPr>
                <w:color w:val="0F172A"/>
                <w:sz w:val="17"/>
              </w:rPr>
              <w:t>0.818</w:t>
            </w:r>
          </w:p>
        </w:tc>
      </w:tr>
    </w:tbl>
    <w:p>
      <w:pPr>
        <w:spacing w:after="20"/>
      </w:pPr>
    </w:p>
    <w:p>
      <w:pPr>
        <w:jc w:val="center"/>
      </w:pPr>
      <w:r>
        <w:drawing>
          <wp:inline xmlns:a="http://schemas.openxmlformats.org/drawingml/2006/main" xmlns:pic="http://schemas.openxmlformats.org/drawingml/2006/picture">
            <wp:extent cx="5486400" cy="3005773"/>
            <wp:docPr id="12" name="Picture 12"/>
            <wp:cNvGraphicFramePr>
              <a:graphicFrameLocks noChangeAspect="1"/>
            </wp:cNvGraphicFramePr>
            <a:graphic>
              <a:graphicData uri="http://schemas.openxmlformats.org/drawingml/2006/picture">
                <pic:pic>
                  <pic:nvPicPr>
                    <pic:cNvPr id="0" name="baseline_vs_model.png"/>
                    <pic:cNvPicPr/>
                  </pic:nvPicPr>
                  <pic:blipFill>
                    <a:blip r:embed="rId22"/>
                    <a:stretch>
                      <a:fillRect/>
                    </a:stretch>
                  </pic:blipFill>
                  <pic:spPr>
                    <a:xfrm>
                      <a:off x="0" y="0"/>
                      <a:ext cx="5486400" cy="3005773"/>
                    </a:xfrm>
                    <a:prstGeom prst="rect"/>
                  </pic:spPr>
                </pic:pic>
              </a:graphicData>
            </a:graphic>
          </wp:inline>
        </w:drawing>
      </w:r>
    </w:p>
    <w:p>
      <w:pPr>
        <w:spacing w:after="140"/>
        <w:jc w:val="center"/>
      </w:pPr>
      <w:r>
        <w:rPr>
          <w:i/>
          <w:color w:val="475569"/>
          <w:sz w:val="17"/>
        </w:rPr>
        <w:t>Figure 11. Selected model compared with the no-learning baseline.</w:t>
      </w:r>
    </w:p>
    <w:p>
      <w:pPr>
        <w:pStyle w:val="Heading2"/>
        <w:spacing w:before="160" w:after="120"/>
      </w:pPr>
      <w:r>
        <w:rPr>
          <w:b/>
          <w:color w:val="047857"/>
        </w:rPr>
        <w:t>7.2 Class-level Performance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1FAE5"/>
            <w:vAlign w:val="center"/>
          </w:tcPr>
          <w:p>
            <w:pPr>
              <w:jc w:val="center"/>
            </w:pPr>
            <w:r>
              <w:rPr>
                <w:b/>
                <w:color w:val="065F46"/>
                <w:sz w:val="17"/>
              </w:rPr>
              <w:t>Class</w:t>
            </w:r>
          </w:p>
        </w:tc>
        <w:tc>
          <w:tcPr>
            <w:tcW w:type="dxa" w:w="2033"/>
            <w:shd w:fill="D1FAE5"/>
            <w:vAlign w:val="center"/>
          </w:tcPr>
          <w:p>
            <w:pPr>
              <w:jc w:val="center"/>
            </w:pPr>
            <w:r>
              <w:rPr>
                <w:b/>
                <w:color w:val="065F46"/>
                <w:sz w:val="17"/>
              </w:rPr>
              <w:t>Precision</w:t>
            </w:r>
          </w:p>
        </w:tc>
        <w:tc>
          <w:tcPr>
            <w:tcW w:type="dxa" w:w="2033"/>
            <w:shd w:fill="D1FAE5"/>
            <w:vAlign w:val="center"/>
          </w:tcPr>
          <w:p>
            <w:pPr>
              <w:jc w:val="center"/>
            </w:pPr>
            <w:r>
              <w:rPr>
                <w:b/>
                <w:color w:val="065F46"/>
                <w:sz w:val="17"/>
              </w:rPr>
              <w:t>Recall</w:t>
            </w:r>
          </w:p>
        </w:tc>
        <w:tc>
          <w:tcPr>
            <w:tcW w:type="dxa" w:w="2033"/>
            <w:shd w:fill="D1FAE5"/>
            <w:vAlign w:val="center"/>
          </w:tcPr>
          <w:p>
            <w:pPr>
              <w:jc w:val="center"/>
            </w:pPr>
            <w:r>
              <w:rPr>
                <w:b/>
                <w:color w:val="065F46"/>
                <w:sz w:val="17"/>
              </w:rPr>
              <w:t>F1</w:t>
            </w:r>
          </w:p>
        </w:tc>
        <w:tc>
          <w:tcPr>
            <w:tcW w:type="dxa" w:w="2033"/>
            <w:shd w:fill="D1FAE5"/>
            <w:vAlign w:val="center"/>
          </w:tcPr>
          <w:p>
            <w:pPr>
              <w:jc w:val="center"/>
            </w:pPr>
            <w:r>
              <w:rPr>
                <w:b/>
                <w:color w:val="065F46"/>
                <w:sz w:val="17"/>
              </w:rPr>
              <w:t>Support</w:t>
            </w:r>
          </w:p>
        </w:tc>
      </w:tr>
      <w:tr>
        <w:tc>
          <w:tcPr>
            <w:tcW w:type="dxa" w:w="2033"/>
            <w:vAlign w:val="center"/>
          </w:tcPr>
          <w:p>
            <w:pPr>
              <w:jc w:val="left"/>
            </w:pPr>
            <w:r>
              <w:rPr>
                <w:color w:val="0F172A"/>
                <w:sz w:val="17"/>
              </w:rPr>
              <w:t>High Risk</w:t>
            </w:r>
          </w:p>
        </w:tc>
        <w:tc>
          <w:tcPr>
            <w:tcW w:type="dxa" w:w="2033"/>
            <w:vAlign w:val="center"/>
          </w:tcPr>
          <w:p>
            <w:pPr>
              <w:jc w:val="center"/>
            </w:pPr>
            <w:r>
              <w:rPr>
                <w:color w:val="0F172A"/>
                <w:sz w:val="17"/>
              </w:rPr>
              <w:t>0.918</w:t>
            </w:r>
          </w:p>
        </w:tc>
        <w:tc>
          <w:tcPr>
            <w:tcW w:type="dxa" w:w="2033"/>
            <w:vAlign w:val="center"/>
          </w:tcPr>
          <w:p>
            <w:pPr>
              <w:jc w:val="center"/>
            </w:pPr>
            <w:r>
              <w:rPr>
                <w:color w:val="0F172A"/>
                <w:sz w:val="17"/>
              </w:rPr>
              <w:t>0.818</w:t>
            </w:r>
          </w:p>
        </w:tc>
        <w:tc>
          <w:tcPr>
            <w:tcW w:type="dxa" w:w="2033"/>
            <w:vAlign w:val="center"/>
          </w:tcPr>
          <w:p>
            <w:pPr>
              <w:jc w:val="center"/>
            </w:pPr>
            <w:r>
              <w:rPr>
                <w:color w:val="0F172A"/>
                <w:sz w:val="17"/>
              </w:rPr>
              <w:t>0.865</w:t>
            </w:r>
          </w:p>
        </w:tc>
        <w:tc>
          <w:tcPr>
            <w:tcW w:type="dxa" w:w="2033"/>
            <w:vAlign w:val="center"/>
          </w:tcPr>
          <w:p>
            <w:pPr>
              <w:jc w:val="center"/>
            </w:pPr>
            <w:r>
              <w:rPr>
                <w:color w:val="0F172A"/>
                <w:sz w:val="17"/>
              </w:rPr>
              <w:t>55</w:t>
            </w:r>
          </w:p>
        </w:tc>
      </w:tr>
      <w:tr>
        <w:tc>
          <w:tcPr>
            <w:tcW w:type="dxa" w:w="2033"/>
            <w:vAlign w:val="center"/>
          </w:tcPr>
          <w:p>
            <w:pPr>
              <w:jc w:val="left"/>
            </w:pPr>
            <w:r>
              <w:rPr>
                <w:color w:val="0F172A"/>
                <w:sz w:val="17"/>
              </w:rPr>
              <w:t>Low Risk</w:t>
            </w:r>
          </w:p>
        </w:tc>
        <w:tc>
          <w:tcPr>
            <w:tcW w:type="dxa" w:w="2033"/>
            <w:vAlign w:val="center"/>
          </w:tcPr>
          <w:p>
            <w:pPr>
              <w:jc w:val="center"/>
            </w:pPr>
            <w:r>
              <w:rPr>
                <w:color w:val="0F172A"/>
                <w:sz w:val="17"/>
              </w:rPr>
              <w:t>0.528</w:t>
            </w:r>
          </w:p>
        </w:tc>
        <w:tc>
          <w:tcPr>
            <w:tcW w:type="dxa" w:w="2033"/>
            <w:vAlign w:val="center"/>
          </w:tcPr>
          <w:p>
            <w:pPr>
              <w:jc w:val="center"/>
            </w:pPr>
            <w:r>
              <w:rPr>
                <w:color w:val="0F172A"/>
                <w:sz w:val="17"/>
              </w:rPr>
              <w:t>0.827</w:t>
            </w:r>
          </w:p>
        </w:tc>
        <w:tc>
          <w:tcPr>
            <w:tcW w:type="dxa" w:w="2033"/>
            <w:vAlign w:val="center"/>
          </w:tcPr>
          <w:p>
            <w:pPr>
              <w:jc w:val="center"/>
            </w:pPr>
            <w:r>
              <w:rPr>
                <w:color w:val="0F172A"/>
                <w:sz w:val="17"/>
              </w:rPr>
              <w:t>0.644</w:t>
            </w:r>
          </w:p>
        </w:tc>
        <w:tc>
          <w:tcPr>
            <w:tcW w:type="dxa" w:w="2033"/>
            <w:vAlign w:val="center"/>
          </w:tcPr>
          <w:p>
            <w:pPr>
              <w:jc w:val="center"/>
            </w:pPr>
            <w:r>
              <w:rPr>
                <w:color w:val="0F172A"/>
                <w:sz w:val="17"/>
              </w:rPr>
              <w:t>81</w:t>
            </w:r>
          </w:p>
        </w:tc>
      </w:tr>
      <w:tr>
        <w:tc>
          <w:tcPr>
            <w:tcW w:type="dxa" w:w="2033"/>
            <w:vAlign w:val="center"/>
          </w:tcPr>
          <w:p>
            <w:pPr>
              <w:jc w:val="left"/>
            </w:pPr>
            <w:r>
              <w:rPr>
                <w:color w:val="0F172A"/>
                <w:sz w:val="17"/>
              </w:rPr>
              <w:t>Mid Risk</w:t>
            </w:r>
          </w:p>
        </w:tc>
        <w:tc>
          <w:tcPr>
            <w:tcW w:type="dxa" w:w="2033"/>
            <w:vAlign w:val="center"/>
          </w:tcPr>
          <w:p>
            <w:pPr>
              <w:jc w:val="center"/>
            </w:pPr>
            <w:r>
              <w:rPr>
                <w:color w:val="0F172A"/>
                <w:sz w:val="17"/>
              </w:rPr>
              <w:t>0.370</w:t>
            </w:r>
          </w:p>
        </w:tc>
        <w:tc>
          <w:tcPr>
            <w:tcW w:type="dxa" w:w="2033"/>
            <w:vAlign w:val="center"/>
          </w:tcPr>
          <w:p>
            <w:pPr>
              <w:jc w:val="center"/>
            </w:pPr>
            <w:r>
              <w:rPr>
                <w:color w:val="0F172A"/>
                <w:sz w:val="17"/>
              </w:rPr>
              <w:t>0.149</w:t>
            </w:r>
          </w:p>
        </w:tc>
        <w:tc>
          <w:tcPr>
            <w:tcW w:type="dxa" w:w="2033"/>
            <w:vAlign w:val="center"/>
          </w:tcPr>
          <w:p>
            <w:pPr>
              <w:jc w:val="center"/>
            </w:pPr>
            <w:r>
              <w:rPr>
                <w:color w:val="0F172A"/>
                <w:sz w:val="17"/>
              </w:rPr>
              <w:t>0.213</w:t>
            </w:r>
          </w:p>
        </w:tc>
        <w:tc>
          <w:tcPr>
            <w:tcW w:type="dxa" w:w="2033"/>
            <w:vAlign w:val="center"/>
          </w:tcPr>
          <w:p>
            <w:pPr>
              <w:jc w:val="center"/>
            </w:pPr>
            <w:r>
              <w:rPr>
                <w:color w:val="0F172A"/>
                <w:sz w:val="17"/>
              </w:rPr>
              <w:t>67</w:t>
            </w:r>
          </w:p>
        </w:tc>
      </w:tr>
    </w:tbl>
    <w:p>
      <w:pPr>
        <w:spacing w:after="20"/>
      </w:pPr>
    </w:p>
    <w:p>
      <w:pPr>
        <w:spacing w:after="100" w:line="269" w:lineRule="auto"/>
      </w:pPr>
      <w:r>
        <w:t>High Risk performance is the strongest: recall 0.818 and class F1 0.865. Mid Risk recall is only 0.149; most Mid Risk errors are predictions of Low Risk.</w:t>
      </w:r>
    </w:p>
    <w:p>
      <w:pPr>
        <w:jc w:val="center"/>
      </w:pPr>
      <w:r>
        <w:drawing>
          <wp:inline xmlns:a="http://schemas.openxmlformats.org/drawingml/2006/main" xmlns:pic="http://schemas.openxmlformats.org/drawingml/2006/picture">
            <wp:extent cx="4937760" cy="4350690"/>
            <wp:docPr id="13" name="Picture 13"/>
            <wp:cNvGraphicFramePr>
              <a:graphicFrameLocks noChangeAspect="1"/>
            </wp:cNvGraphicFramePr>
            <a:graphic>
              <a:graphicData uri="http://schemas.openxmlformats.org/drawingml/2006/picture">
                <pic:pic>
                  <pic:nvPicPr>
                    <pic:cNvPr id="0" name="test_confusion_matrix.png"/>
                    <pic:cNvPicPr/>
                  </pic:nvPicPr>
                  <pic:blipFill>
                    <a:blip r:embed="rId23"/>
                    <a:stretch>
                      <a:fillRect/>
                    </a:stretch>
                  </pic:blipFill>
                  <pic:spPr>
                    <a:xfrm>
                      <a:off x="0" y="0"/>
                      <a:ext cx="4937760" cy="4350690"/>
                    </a:xfrm>
                    <a:prstGeom prst="rect"/>
                  </pic:spPr>
                </pic:pic>
              </a:graphicData>
            </a:graphic>
          </wp:inline>
        </w:drawing>
      </w:r>
    </w:p>
    <w:p>
      <w:pPr>
        <w:spacing w:after="140"/>
        <w:jc w:val="center"/>
      </w:pPr>
      <w:r>
        <w:rPr>
          <w:i/>
          <w:color w:val="475569"/>
          <w:sz w:val="17"/>
        </w:rPr>
        <w:t>Figure 12. Untouched test-set confusion matrix.</w:t>
      </w:r>
    </w:p>
    <w:tbl>
      <w:tblPr>
        <w:tblW w:type="auto" w:w="0"/>
        <w:jc w:val="center"/>
        <w:tblLook w:firstColumn="1" w:firstRow="1" w:lastColumn="0" w:lastRow="0" w:noHBand="0" w:noVBand="1" w:val="04A0"/>
      </w:tblPr>
      <w:tblGrid>
        <w:gridCol w:w="10166"/>
      </w:tblGrid>
      <w:tr>
        <w:tc>
          <w:tcPr>
            <w:tcW w:type="dxa" w:w="10166"/>
            <w:shd w:fill="FEE2E2"/>
          </w:tcPr>
          <w:p>
            <w:pPr>
              <w:spacing w:after="40"/>
            </w:pPr>
            <w:r>
              <w:rPr>
                <w:b/>
                <w:color w:val="B91C1C"/>
              </w:rPr>
              <w:t xml:space="preserve">Honest conclusion: </w:t>
            </w:r>
            <w:r>
              <w:rPr>
                <w:color w:val="0F172A"/>
              </w:rPr>
              <w:t>The model has learned useful signal and beats the baseline, but it does not provide reliable three-class clinical classification. The weak Mid Risk result must be reported alongside the stronger High Risk recall.</w:t>
            </w:r>
          </w:p>
        </w:tc>
      </w:tr>
    </w:tbl>
    <w:p>
      <w:pPr>
        <w:spacing w:after="20"/>
      </w:pPr>
    </w:p>
    <w:p>
      <w:pPr>
        <w:pStyle w:val="Heading1"/>
        <w:spacing w:before="160" w:after="120"/>
      </w:pPr>
      <w:r>
        <w:rPr>
          <w:b/>
          <w:color w:val="065F46"/>
        </w:rPr>
        <w:t>8. Disaggregated Evaluation and Fairness</w:t>
      </w:r>
    </w:p>
    <w:p>
      <w:pPr>
        <w:spacing w:after="100" w:line="269" w:lineRule="auto"/>
      </w:pPr>
      <w:r>
        <w:t>The fairness criterion is Equal Opportunity for High Risk identification across age groups. This asks whether actual High Risk cases are correctly identified at similar rates for different age categories.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D1FAE5"/>
            <w:vAlign w:val="center"/>
          </w:tcPr>
          <w:p>
            <w:pPr>
              <w:jc w:val="center"/>
            </w:pPr>
            <w:r>
              <w:rPr>
                <w:b/>
                <w:color w:val="065F46"/>
                <w:sz w:val="16"/>
              </w:rPr>
              <w:t>Age group</w:t>
            </w:r>
          </w:p>
        </w:tc>
        <w:tc>
          <w:tcPr>
            <w:tcW w:type="dxa" w:w="1694"/>
            <w:shd w:fill="D1FAE5"/>
            <w:vAlign w:val="center"/>
          </w:tcPr>
          <w:p>
            <w:pPr>
              <w:jc w:val="center"/>
            </w:pPr>
            <w:r>
              <w:rPr>
                <w:b/>
                <w:color w:val="065F46"/>
                <w:sz w:val="16"/>
              </w:rPr>
              <w:t>N</w:t>
            </w:r>
          </w:p>
        </w:tc>
        <w:tc>
          <w:tcPr>
            <w:tcW w:type="dxa" w:w="1694"/>
            <w:shd w:fill="D1FAE5"/>
            <w:vAlign w:val="center"/>
          </w:tcPr>
          <w:p>
            <w:pPr>
              <w:jc w:val="center"/>
            </w:pPr>
            <w:r>
              <w:rPr>
                <w:b/>
                <w:color w:val="065F46"/>
                <w:sz w:val="16"/>
              </w:rPr>
              <w:t>High Risk N</w:t>
            </w:r>
          </w:p>
        </w:tc>
        <w:tc>
          <w:tcPr>
            <w:tcW w:type="dxa" w:w="1694"/>
            <w:shd w:fill="D1FAE5"/>
            <w:vAlign w:val="center"/>
          </w:tcPr>
          <w:p>
            <w:pPr>
              <w:jc w:val="center"/>
            </w:pPr>
            <w:r>
              <w:rPr>
                <w:b/>
                <w:color w:val="065F46"/>
                <w:sz w:val="16"/>
              </w:rPr>
              <w:t>Weighted F1</w:t>
            </w:r>
          </w:p>
        </w:tc>
        <w:tc>
          <w:tcPr>
            <w:tcW w:type="dxa" w:w="1694"/>
            <w:shd w:fill="D1FAE5"/>
            <w:vAlign w:val="center"/>
          </w:tcPr>
          <w:p>
            <w:pPr>
              <w:jc w:val="center"/>
            </w:pPr>
            <w:r>
              <w:rPr>
                <w:b/>
                <w:color w:val="065F46"/>
                <w:sz w:val="16"/>
              </w:rPr>
              <w:t>Macro F1</w:t>
            </w:r>
          </w:p>
        </w:tc>
        <w:tc>
          <w:tcPr>
            <w:tcW w:type="dxa" w:w="1694"/>
            <w:shd w:fill="D1FAE5"/>
            <w:vAlign w:val="center"/>
          </w:tcPr>
          <w:p>
            <w:pPr>
              <w:jc w:val="center"/>
            </w:pPr>
            <w:r>
              <w:rPr>
                <w:b/>
                <w:color w:val="065F46"/>
                <w:sz w:val="16"/>
              </w:rPr>
              <w:t>High Risk recall</w:t>
            </w:r>
          </w:p>
        </w:tc>
      </w:tr>
      <w:tr>
        <w:tc>
          <w:tcPr>
            <w:tcW w:type="dxa" w:w="1694"/>
            <w:vAlign w:val="center"/>
          </w:tcPr>
          <w:p>
            <w:pPr>
              <w:jc w:val="left"/>
            </w:pPr>
            <w:r>
              <w:rPr>
                <w:color w:val="0F172A"/>
                <w:sz w:val="16"/>
              </w:rPr>
              <w:t>&lt;=19</w:t>
            </w:r>
          </w:p>
        </w:tc>
        <w:tc>
          <w:tcPr>
            <w:tcW w:type="dxa" w:w="1694"/>
            <w:vAlign w:val="center"/>
          </w:tcPr>
          <w:p>
            <w:pPr>
              <w:jc w:val="center"/>
            </w:pPr>
            <w:r>
              <w:rPr>
                <w:color w:val="0F172A"/>
                <w:sz w:val="16"/>
              </w:rPr>
              <w:t>77</w:t>
            </w:r>
          </w:p>
        </w:tc>
        <w:tc>
          <w:tcPr>
            <w:tcW w:type="dxa" w:w="1694"/>
            <w:vAlign w:val="center"/>
          </w:tcPr>
          <w:p>
            <w:pPr>
              <w:jc w:val="center"/>
            </w:pPr>
            <w:r>
              <w:rPr>
                <w:color w:val="0F172A"/>
                <w:sz w:val="16"/>
              </w:rPr>
              <w:t>8</w:t>
            </w:r>
          </w:p>
        </w:tc>
        <w:tc>
          <w:tcPr>
            <w:tcW w:type="dxa" w:w="1694"/>
            <w:vAlign w:val="center"/>
          </w:tcPr>
          <w:p>
            <w:pPr>
              <w:jc w:val="center"/>
            </w:pPr>
            <w:r>
              <w:rPr>
                <w:color w:val="0F172A"/>
                <w:sz w:val="16"/>
              </w:rPr>
              <w:t>0.350</w:t>
            </w:r>
          </w:p>
        </w:tc>
        <w:tc>
          <w:tcPr>
            <w:tcW w:type="dxa" w:w="1694"/>
            <w:vAlign w:val="center"/>
          </w:tcPr>
          <w:p>
            <w:pPr>
              <w:jc w:val="center"/>
            </w:pPr>
            <w:r>
              <w:rPr>
                <w:color w:val="0F172A"/>
                <w:sz w:val="16"/>
              </w:rPr>
              <w:t>0.372</w:t>
            </w:r>
          </w:p>
        </w:tc>
        <w:tc>
          <w:tcPr>
            <w:tcW w:type="dxa" w:w="1694"/>
            <w:vAlign w:val="center"/>
          </w:tcPr>
          <w:p>
            <w:pPr>
              <w:jc w:val="center"/>
            </w:pPr>
            <w:r>
              <w:rPr>
                <w:color w:val="0F172A"/>
                <w:sz w:val="16"/>
              </w:rPr>
              <w:t>0.375</w:t>
            </w:r>
          </w:p>
        </w:tc>
      </w:tr>
      <w:tr>
        <w:tc>
          <w:tcPr>
            <w:tcW w:type="dxa" w:w="1694"/>
            <w:vAlign w:val="center"/>
          </w:tcPr>
          <w:p>
            <w:pPr>
              <w:jc w:val="left"/>
            </w:pPr>
            <w:r>
              <w:rPr>
                <w:color w:val="0F172A"/>
                <w:sz w:val="16"/>
              </w:rPr>
              <w:t>20-34</w:t>
            </w:r>
          </w:p>
        </w:tc>
        <w:tc>
          <w:tcPr>
            <w:tcW w:type="dxa" w:w="1694"/>
            <w:vAlign w:val="center"/>
          </w:tcPr>
          <w:p>
            <w:pPr>
              <w:jc w:val="center"/>
            </w:pPr>
            <w:r>
              <w:rPr>
                <w:color w:val="0F172A"/>
                <w:sz w:val="16"/>
              </w:rPr>
              <w:t>58</w:t>
            </w:r>
          </w:p>
        </w:tc>
        <w:tc>
          <w:tcPr>
            <w:tcW w:type="dxa" w:w="1694"/>
            <w:vAlign w:val="center"/>
          </w:tcPr>
          <w:p>
            <w:pPr>
              <w:jc w:val="center"/>
            </w:pPr>
            <w:r>
              <w:rPr>
                <w:color w:val="0F172A"/>
                <w:sz w:val="16"/>
              </w:rPr>
              <w:t>10</w:t>
            </w:r>
          </w:p>
        </w:tc>
        <w:tc>
          <w:tcPr>
            <w:tcW w:type="dxa" w:w="1694"/>
            <w:vAlign w:val="center"/>
          </w:tcPr>
          <w:p>
            <w:pPr>
              <w:jc w:val="center"/>
            </w:pPr>
            <w:r>
              <w:rPr>
                <w:color w:val="0F172A"/>
                <w:sz w:val="16"/>
              </w:rPr>
              <w:t>0.556</w:t>
            </w:r>
          </w:p>
        </w:tc>
        <w:tc>
          <w:tcPr>
            <w:tcW w:type="dxa" w:w="1694"/>
            <w:vAlign w:val="center"/>
          </w:tcPr>
          <w:p>
            <w:pPr>
              <w:jc w:val="center"/>
            </w:pPr>
            <w:r>
              <w:rPr>
                <w:color w:val="0F172A"/>
                <w:sz w:val="16"/>
              </w:rPr>
              <w:t>0.596</w:t>
            </w:r>
          </w:p>
        </w:tc>
        <w:tc>
          <w:tcPr>
            <w:tcW w:type="dxa" w:w="1694"/>
            <w:vAlign w:val="center"/>
          </w:tcPr>
          <w:p>
            <w:pPr>
              <w:jc w:val="center"/>
            </w:pPr>
            <w:r>
              <w:rPr>
                <w:color w:val="0F172A"/>
                <w:sz w:val="16"/>
              </w:rPr>
              <w:t>0.700</w:t>
            </w:r>
          </w:p>
        </w:tc>
      </w:tr>
      <w:tr>
        <w:tc>
          <w:tcPr>
            <w:tcW w:type="dxa" w:w="1694"/>
            <w:vAlign w:val="center"/>
          </w:tcPr>
          <w:p>
            <w:pPr>
              <w:jc w:val="left"/>
            </w:pPr>
            <w:r>
              <w:rPr>
                <w:color w:val="0F172A"/>
                <w:sz w:val="16"/>
              </w:rPr>
              <w:t>35-49</w:t>
            </w:r>
          </w:p>
        </w:tc>
        <w:tc>
          <w:tcPr>
            <w:tcW w:type="dxa" w:w="1694"/>
            <w:vAlign w:val="center"/>
          </w:tcPr>
          <w:p>
            <w:pPr>
              <w:jc w:val="center"/>
            </w:pPr>
            <w:r>
              <w:rPr>
                <w:color w:val="0F172A"/>
                <w:sz w:val="16"/>
              </w:rPr>
              <w:t>40</w:t>
            </w:r>
          </w:p>
        </w:tc>
        <w:tc>
          <w:tcPr>
            <w:tcW w:type="dxa" w:w="1694"/>
            <w:vAlign w:val="center"/>
          </w:tcPr>
          <w:p>
            <w:pPr>
              <w:jc w:val="center"/>
            </w:pPr>
            <w:r>
              <w:rPr>
                <w:color w:val="0F172A"/>
                <w:sz w:val="16"/>
              </w:rPr>
              <w:t>22</w:t>
            </w:r>
          </w:p>
        </w:tc>
        <w:tc>
          <w:tcPr>
            <w:tcW w:type="dxa" w:w="1694"/>
            <w:vAlign w:val="center"/>
          </w:tcPr>
          <w:p>
            <w:pPr>
              <w:jc w:val="center"/>
            </w:pPr>
            <w:r>
              <w:rPr>
                <w:color w:val="0F172A"/>
                <w:sz w:val="16"/>
              </w:rPr>
              <w:t>0.855</w:t>
            </w:r>
          </w:p>
        </w:tc>
        <w:tc>
          <w:tcPr>
            <w:tcW w:type="dxa" w:w="1694"/>
            <w:vAlign w:val="center"/>
          </w:tcPr>
          <w:p>
            <w:pPr>
              <w:jc w:val="center"/>
            </w:pPr>
            <w:r>
              <w:rPr>
                <w:color w:val="0F172A"/>
                <w:sz w:val="16"/>
              </w:rPr>
              <w:t>0.608</w:t>
            </w:r>
          </w:p>
        </w:tc>
        <w:tc>
          <w:tcPr>
            <w:tcW w:type="dxa" w:w="1694"/>
            <w:vAlign w:val="center"/>
          </w:tcPr>
          <w:p>
            <w:pPr>
              <w:jc w:val="center"/>
            </w:pPr>
            <w:r>
              <w:rPr>
                <w:color w:val="0F172A"/>
                <w:sz w:val="16"/>
              </w:rPr>
              <w:t>0.955</w:t>
            </w:r>
          </w:p>
        </w:tc>
      </w:tr>
      <w:tr>
        <w:tc>
          <w:tcPr>
            <w:tcW w:type="dxa" w:w="1694"/>
            <w:vAlign w:val="center"/>
          </w:tcPr>
          <w:p>
            <w:pPr>
              <w:jc w:val="left"/>
            </w:pPr>
            <w:r>
              <w:rPr>
                <w:color w:val="0F172A"/>
                <w:sz w:val="16"/>
              </w:rPr>
              <w:t>&gt;=50</w:t>
            </w:r>
          </w:p>
        </w:tc>
        <w:tc>
          <w:tcPr>
            <w:tcW w:type="dxa" w:w="1694"/>
            <w:vAlign w:val="center"/>
          </w:tcPr>
          <w:p>
            <w:pPr>
              <w:jc w:val="center"/>
            </w:pPr>
            <w:r>
              <w:rPr>
                <w:color w:val="0F172A"/>
                <w:sz w:val="16"/>
              </w:rPr>
              <w:t>28</w:t>
            </w:r>
          </w:p>
        </w:tc>
        <w:tc>
          <w:tcPr>
            <w:tcW w:type="dxa" w:w="1694"/>
            <w:vAlign w:val="center"/>
          </w:tcPr>
          <w:p>
            <w:pPr>
              <w:jc w:val="center"/>
            </w:pPr>
            <w:r>
              <w:rPr>
                <w:color w:val="0F172A"/>
                <w:sz w:val="16"/>
              </w:rPr>
              <w:t>15</w:t>
            </w:r>
          </w:p>
        </w:tc>
        <w:tc>
          <w:tcPr>
            <w:tcW w:type="dxa" w:w="1694"/>
            <w:vAlign w:val="center"/>
          </w:tcPr>
          <w:p>
            <w:pPr>
              <w:jc w:val="center"/>
            </w:pPr>
            <w:r>
              <w:rPr>
                <w:color w:val="0F172A"/>
                <w:sz w:val="16"/>
              </w:rPr>
              <w:t>0.751</w:t>
            </w:r>
          </w:p>
        </w:tc>
        <w:tc>
          <w:tcPr>
            <w:tcW w:type="dxa" w:w="1694"/>
            <w:vAlign w:val="center"/>
          </w:tcPr>
          <w:p>
            <w:pPr>
              <w:jc w:val="center"/>
            </w:pPr>
            <w:r>
              <w:rPr>
                <w:color w:val="0F172A"/>
                <w:sz w:val="16"/>
              </w:rPr>
              <w:t>0.564</w:t>
            </w:r>
          </w:p>
        </w:tc>
        <w:tc>
          <w:tcPr>
            <w:tcW w:type="dxa" w:w="1694"/>
            <w:vAlign w:val="center"/>
          </w:tcPr>
          <w:p>
            <w:pPr>
              <w:jc w:val="center"/>
            </w:pPr>
            <w:r>
              <w:rPr>
                <w:color w:val="0F172A"/>
                <w:sz w:val="16"/>
              </w:rPr>
              <w:t>0.933</w:t>
            </w:r>
          </w:p>
        </w:tc>
      </w:tr>
    </w:tbl>
    <w:p>
      <w:pPr>
        <w:spacing w:after="20"/>
      </w:pPr>
    </w:p>
    <w:p>
      <w:pPr>
        <w:jc w:val="center"/>
      </w:pPr>
      <w:r>
        <w:drawing>
          <wp:inline xmlns:a="http://schemas.openxmlformats.org/drawingml/2006/main" xmlns:pic="http://schemas.openxmlformats.org/drawingml/2006/picture">
            <wp:extent cx="5486400" cy="3234170"/>
            <wp:docPr id="14" name="Picture 14"/>
            <wp:cNvGraphicFramePr>
              <a:graphicFrameLocks noChangeAspect="1"/>
            </wp:cNvGraphicFramePr>
            <a:graphic>
              <a:graphicData uri="http://schemas.openxmlformats.org/drawingml/2006/picture">
                <pic:pic>
                  <pic:nvPicPr>
                    <pic:cNvPr id="0" name="age_group_high_risk_recall.png"/>
                    <pic:cNvPicPr/>
                  </pic:nvPicPr>
                  <pic:blipFill>
                    <a:blip r:embed="rId24"/>
                    <a:stretch>
                      <a:fillRect/>
                    </a:stretch>
                  </pic:blipFill>
                  <pic:spPr>
                    <a:xfrm>
                      <a:off x="0" y="0"/>
                      <a:ext cx="5486400" cy="3234170"/>
                    </a:xfrm>
                    <a:prstGeom prst="rect"/>
                  </pic:spPr>
                </pic:pic>
              </a:graphicData>
            </a:graphic>
          </wp:inline>
        </w:drawing>
      </w:r>
    </w:p>
    <w:p>
      <w:pPr>
        <w:spacing w:after="140"/>
        <w:jc w:val="center"/>
      </w:pPr>
      <w:r>
        <w:rPr>
          <w:i/>
          <w:color w:val="475569"/>
          <w:sz w:val="17"/>
        </w:rPr>
        <w:t>Figure 13. High Risk recall by age group.</w:t>
      </w:r>
    </w:p>
    <w:p>
      <w:pPr>
        <w:spacing w:after="100" w:line="269" w:lineRule="auto"/>
      </w:pPr>
      <w:r>
        <w:t>High Risk recall ranges from 0.375 to 0.955, producing a gap of 0.580. The youngest group performs worst. The subgroup counts are limited, so the values have uncertainty, but the gap is too large to claim equal opportunity.</w:t>
      </w:r>
    </w:p>
    <w:p>
      <w:pPr>
        <w:spacing w:after="100" w:line="269" w:lineRule="auto"/>
      </w:pPr>
      <w:r>
        <w:t>A responsible next phase would collect larger, locally validated data, predefine subgroup thresholds and repeat the analysis prospectively before any deployment decision.</w:t>
      </w:r>
    </w:p>
    <w:p>
      <w:pPr>
        <w:pStyle w:val="Heading1"/>
        <w:spacing w:before="160" w:after="120"/>
      </w:pPr>
      <w:r>
        <w:rPr>
          <w:b/>
          <w:color w:val="065F46"/>
        </w:rPr>
        <w:t>9. Structured Error Analysis</w:t>
      </w:r>
    </w:p>
    <w:p>
      <w:pPr>
        <w:pStyle w:val="Heading2"/>
        <w:spacing w:before="160" w:after="120"/>
      </w:pPr>
      <w:r>
        <w:rPr>
          <w:b/>
          <w:color w:val="047857"/>
        </w:rPr>
        <w:t>9.1 Are the errors random?</w:t>
      </w:r>
    </w:p>
    <w:p>
      <w:pPr>
        <w:spacing w:after="100" w:line="269" w:lineRule="auto"/>
      </w:pPr>
      <w:r>
        <w:t>No. Errors concentrate in Mid Risk records, the youngest age group and records whose identical measurement signatures have contradictory labels.</w:t>
      </w:r>
    </w:p>
    <w:p>
      <w:pPr>
        <w:pStyle w:val="Heading2"/>
        <w:spacing w:before="160" w:after="120"/>
      </w:pPr>
      <w:r>
        <w:rPr>
          <w:b/>
          <w:color w:val="047857"/>
        </w:rPr>
        <w:t>9.2 Are the errors concentrated?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1FAE5"/>
            <w:vAlign w:val="center"/>
          </w:tcPr>
          <w:p>
            <w:pPr>
              <w:jc w:val="center"/>
            </w:pPr>
            <w:r>
              <w:rPr>
                <w:b/>
                <w:color w:val="065F46"/>
                <w:sz w:val="17"/>
              </w:rPr>
              <w:t>Conflicting signature</w:t>
            </w:r>
          </w:p>
        </w:tc>
        <w:tc>
          <w:tcPr>
            <w:tcW w:type="dxa" w:w="2541"/>
            <w:shd w:fill="D1FAE5"/>
            <w:vAlign w:val="center"/>
          </w:tcPr>
          <w:p>
            <w:pPr>
              <w:jc w:val="center"/>
            </w:pPr>
            <w:r>
              <w:rPr>
                <w:b/>
                <w:color w:val="065F46"/>
                <w:sz w:val="17"/>
              </w:rPr>
              <w:t>Records</w:t>
            </w:r>
          </w:p>
        </w:tc>
        <w:tc>
          <w:tcPr>
            <w:tcW w:type="dxa" w:w="2541"/>
            <w:shd w:fill="D1FAE5"/>
            <w:vAlign w:val="center"/>
          </w:tcPr>
          <w:p>
            <w:pPr>
              <w:jc w:val="center"/>
            </w:pPr>
            <w:r>
              <w:rPr>
                <w:b/>
                <w:color w:val="065F46"/>
                <w:sz w:val="17"/>
              </w:rPr>
              <w:t>Accuracy</w:t>
            </w:r>
          </w:p>
        </w:tc>
        <w:tc>
          <w:tcPr>
            <w:tcW w:type="dxa" w:w="2541"/>
            <w:shd w:fill="D1FAE5"/>
            <w:vAlign w:val="center"/>
          </w:tcPr>
          <w:p>
            <w:pPr>
              <w:jc w:val="center"/>
            </w:pPr>
            <w:r>
              <w:rPr>
                <w:b/>
                <w:color w:val="065F46"/>
                <w:sz w:val="17"/>
              </w:rPr>
              <w:t>Error rate</w:t>
            </w:r>
          </w:p>
        </w:tc>
      </w:tr>
      <w:tr>
        <w:tc>
          <w:tcPr>
            <w:tcW w:type="dxa" w:w="2541"/>
            <w:vAlign w:val="center"/>
          </w:tcPr>
          <w:p>
            <w:pPr>
              <w:jc w:val="left"/>
            </w:pPr>
            <w:r>
              <w:rPr>
                <w:color w:val="0F172A"/>
                <w:sz w:val="17"/>
              </w:rPr>
              <w:t>No</w:t>
            </w:r>
          </w:p>
        </w:tc>
        <w:tc>
          <w:tcPr>
            <w:tcW w:type="dxa" w:w="2541"/>
            <w:vAlign w:val="center"/>
          </w:tcPr>
          <w:p>
            <w:pPr>
              <w:jc w:val="center"/>
            </w:pPr>
            <w:r>
              <w:rPr>
                <w:color w:val="0F172A"/>
                <w:sz w:val="17"/>
              </w:rPr>
              <w:t>152</w:t>
            </w:r>
          </w:p>
        </w:tc>
        <w:tc>
          <w:tcPr>
            <w:tcW w:type="dxa" w:w="2541"/>
            <w:vAlign w:val="center"/>
          </w:tcPr>
          <w:p>
            <w:pPr>
              <w:jc w:val="center"/>
            </w:pPr>
            <w:r>
              <w:rPr>
                <w:color w:val="0F172A"/>
                <w:sz w:val="17"/>
              </w:rPr>
              <w:t>0.737</w:t>
            </w:r>
          </w:p>
        </w:tc>
        <w:tc>
          <w:tcPr>
            <w:tcW w:type="dxa" w:w="2541"/>
            <w:vAlign w:val="center"/>
          </w:tcPr>
          <w:p>
            <w:pPr>
              <w:jc w:val="center"/>
            </w:pPr>
            <w:r>
              <w:rPr>
                <w:color w:val="0F172A"/>
                <w:sz w:val="17"/>
              </w:rPr>
              <w:t>0.263</w:t>
            </w:r>
          </w:p>
        </w:tc>
      </w:tr>
      <w:tr>
        <w:tc>
          <w:tcPr>
            <w:tcW w:type="dxa" w:w="2541"/>
            <w:vAlign w:val="center"/>
          </w:tcPr>
          <w:p>
            <w:pPr>
              <w:jc w:val="left"/>
            </w:pPr>
            <w:r>
              <w:rPr>
                <w:color w:val="0F172A"/>
                <w:sz w:val="17"/>
              </w:rPr>
              <w:t>Yes</w:t>
            </w:r>
          </w:p>
        </w:tc>
        <w:tc>
          <w:tcPr>
            <w:tcW w:type="dxa" w:w="2541"/>
            <w:vAlign w:val="center"/>
          </w:tcPr>
          <w:p>
            <w:pPr>
              <w:jc w:val="center"/>
            </w:pPr>
            <w:r>
              <w:rPr>
                <w:color w:val="0F172A"/>
                <w:sz w:val="17"/>
              </w:rPr>
              <w:t>51</w:t>
            </w:r>
          </w:p>
        </w:tc>
        <w:tc>
          <w:tcPr>
            <w:tcW w:type="dxa" w:w="2541"/>
            <w:vAlign w:val="center"/>
          </w:tcPr>
          <w:p>
            <w:pPr>
              <w:jc w:val="center"/>
            </w:pPr>
            <w:r>
              <w:rPr>
                <w:color w:val="0F172A"/>
                <w:sz w:val="17"/>
              </w:rPr>
              <w:t>0.196</w:t>
            </w:r>
          </w:p>
        </w:tc>
        <w:tc>
          <w:tcPr>
            <w:tcW w:type="dxa" w:w="2541"/>
            <w:vAlign w:val="center"/>
          </w:tcPr>
          <w:p>
            <w:pPr>
              <w:jc w:val="center"/>
            </w:pPr>
            <w:r>
              <w:rPr>
                <w:color w:val="0F172A"/>
                <w:sz w:val="17"/>
              </w:rPr>
              <w:t>0.804</w:t>
            </w:r>
          </w:p>
        </w:tc>
      </w:tr>
    </w:tbl>
    <w:p>
      <w:pPr>
        <w:spacing w:after="20"/>
      </w:pPr>
    </w:p>
    <w:p>
      <w:pPr>
        <w:spacing w:after="100" w:line="269" w:lineRule="auto"/>
      </w:pPr>
      <w:r>
        <w:t>Records with contradictory signatures have an error rate of 80.4%, compared with 26.3% for consistent signatures. This demonstrates a strong data-quality effect.</w:t>
      </w:r>
    </w:p>
    <w:p>
      <w:pPr>
        <w:pStyle w:val="Heading2"/>
        <w:spacing w:before="160" w:after="120"/>
      </w:pPr>
      <w:r>
        <w:rPr>
          <w:b/>
          <w:color w:val="047857"/>
        </w:rPr>
        <w:t>9.3 Are the errors consequential?</w:t>
      </w:r>
    </w:p>
    <w:p>
      <w:pPr>
        <w:spacing w:after="100" w:line="269" w:lineRule="auto"/>
      </w:pPr>
      <w:r>
        <w:t>Yes. The most serious error is an actual High Risk record predicted as Low Risk because it could create false reassurance. False positive High Risk predictions can create anxiety, but missing a true High Risk case is treated as the greater safety concern.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1FAE5"/>
            <w:vAlign w:val="center"/>
          </w:tcPr>
          <w:p>
            <w:pPr>
              <w:jc w:val="center"/>
            </w:pPr>
            <w:r>
              <w:rPr>
                <w:b/>
                <w:color w:val="065F46"/>
                <w:sz w:val="17"/>
              </w:rPr>
              <w:t>Actual class</w:t>
            </w:r>
          </w:p>
        </w:tc>
        <w:tc>
          <w:tcPr>
            <w:tcW w:type="dxa" w:w="3389"/>
            <w:shd w:fill="D1FAE5"/>
            <w:vAlign w:val="center"/>
          </w:tcPr>
          <w:p>
            <w:pPr>
              <w:jc w:val="center"/>
            </w:pPr>
            <w:r>
              <w:rPr>
                <w:b/>
                <w:color w:val="065F46"/>
                <w:sz w:val="17"/>
              </w:rPr>
              <w:t>Predicted class</w:t>
            </w:r>
          </w:p>
        </w:tc>
        <w:tc>
          <w:tcPr>
            <w:tcW w:type="dxa" w:w="3389"/>
            <w:shd w:fill="D1FAE5"/>
            <w:vAlign w:val="center"/>
          </w:tcPr>
          <w:p>
            <w:pPr>
              <w:jc w:val="center"/>
            </w:pPr>
            <w:r>
              <w:rPr>
                <w:b/>
                <w:color w:val="065F46"/>
                <w:sz w:val="17"/>
              </w:rPr>
              <w:t>Records</w:t>
            </w:r>
          </w:p>
        </w:tc>
      </w:tr>
      <w:tr>
        <w:tc>
          <w:tcPr>
            <w:tcW w:type="dxa" w:w="3389"/>
            <w:vAlign w:val="center"/>
          </w:tcPr>
          <w:p>
            <w:pPr>
              <w:jc w:val="left"/>
            </w:pPr>
            <w:r>
              <w:rPr>
                <w:color w:val="0F172A"/>
                <w:sz w:val="17"/>
              </w:rPr>
              <w:t>Low Risk</w:t>
            </w:r>
          </w:p>
        </w:tc>
        <w:tc>
          <w:tcPr>
            <w:tcW w:type="dxa" w:w="3389"/>
            <w:vAlign w:val="center"/>
          </w:tcPr>
          <w:p>
            <w:pPr>
              <w:jc w:val="center"/>
            </w:pPr>
            <w:r>
              <w:rPr>
                <w:color w:val="0F172A"/>
                <w:sz w:val="17"/>
              </w:rPr>
              <w:t>Low Risk</w:t>
            </w:r>
          </w:p>
        </w:tc>
        <w:tc>
          <w:tcPr>
            <w:tcW w:type="dxa" w:w="3389"/>
            <w:vAlign w:val="center"/>
          </w:tcPr>
          <w:p>
            <w:pPr>
              <w:jc w:val="center"/>
            </w:pPr>
            <w:r>
              <w:rPr>
                <w:color w:val="0F172A"/>
                <w:sz w:val="17"/>
              </w:rPr>
              <w:t>67</w:t>
            </w:r>
          </w:p>
        </w:tc>
      </w:tr>
      <w:tr>
        <w:tc>
          <w:tcPr>
            <w:tcW w:type="dxa" w:w="3389"/>
            <w:vAlign w:val="center"/>
          </w:tcPr>
          <w:p>
            <w:pPr>
              <w:jc w:val="left"/>
            </w:pPr>
            <w:r>
              <w:rPr>
                <w:color w:val="0F172A"/>
                <w:sz w:val="17"/>
              </w:rPr>
              <w:t>Mid Risk</w:t>
            </w:r>
          </w:p>
        </w:tc>
        <w:tc>
          <w:tcPr>
            <w:tcW w:type="dxa" w:w="3389"/>
            <w:vAlign w:val="center"/>
          </w:tcPr>
          <w:p>
            <w:pPr>
              <w:jc w:val="center"/>
            </w:pPr>
            <w:r>
              <w:rPr>
                <w:color w:val="0F172A"/>
                <w:sz w:val="17"/>
              </w:rPr>
              <w:t>Low Risk</w:t>
            </w:r>
          </w:p>
        </w:tc>
        <w:tc>
          <w:tcPr>
            <w:tcW w:type="dxa" w:w="3389"/>
            <w:vAlign w:val="center"/>
          </w:tcPr>
          <w:p>
            <w:pPr>
              <w:jc w:val="center"/>
            </w:pPr>
            <w:r>
              <w:rPr>
                <w:color w:val="0F172A"/>
                <w:sz w:val="17"/>
              </w:rPr>
              <w:t>55</w:t>
            </w:r>
          </w:p>
        </w:tc>
      </w:tr>
      <w:tr>
        <w:tc>
          <w:tcPr>
            <w:tcW w:type="dxa" w:w="3389"/>
            <w:vAlign w:val="center"/>
          </w:tcPr>
          <w:p>
            <w:pPr>
              <w:jc w:val="left"/>
            </w:pPr>
            <w:r>
              <w:rPr>
                <w:color w:val="0F172A"/>
                <w:sz w:val="17"/>
              </w:rPr>
              <w:t>High Risk</w:t>
            </w:r>
          </w:p>
        </w:tc>
        <w:tc>
          <w:tcPr>
            <w:tcW w:type="dxa" w:w="3389"/>
            <w:vAlign w:val="center"/>
          </w:tcPr>
          <w:p>
            <w:pPr>
              <w:jc w:val="center"/>
            </w:pPr>
            <w:r>
              <w:rPr>
                <w:color w:val="0F172A"/>
                <w:sz w:val="17"/>
              </w:rPr>
              <w:t>High Risk</w:t>
            </w:r>
          </w:p>
        </w:tc>
        <w:tc>
          <w:tcPr>
            <w:tcW w:type="dxa" w:w="3389"/>
            <w:vAlign w:val="center"/>
          </w:tcPr>
          <w:p>
            <w:pPr>
              <w:jc w:val="center"/>
            </w:pPr>
            <w:r>
              <w:rPr>
                <w:color w:val="0F172A"/>
                <w:sz w:val="17"/>
              </w:rPr>
              <w:t>45</w:t>
            </w:r>
          </w:p>
        </w:tc>
      </w:tr>
      <w:tr>
        <w:tc>
          <w:tcPr>
            <w:tcW w:type="dxa" w:w="3389"/>
            <w:vAlign w:val="center"/>
          </w:tcPr>
          <w:p>
            <w:pPr>
              <w:jc w:val="left"/>
            </w:pPr>
            <w:r>
              <w:rPr>
                <w:color w:val="0F172A"/>
                <w:sz w:val="17"/>
              </w:rPr>
              <w:t>Low Risk</w:t>
            </w:r>
          </w:p>
        </w:tc>
        <w:tc>
          <w:tcPr>
            <w:tcW w:type="dxa" w:w="3389"/>
            <w:vAlign w:val="center"/>
          </w:tcPr>
          <w:p>
            <w:pPr>
              <w:jc w:val="center"/>
            </w:pPr>
            <w:r>
              <w:rPr>
                <w:color w:val="0F172A"/>
                <w:sz w:val="17"/>
              </w:rPr>
              <w:t>Mid Risk</w:t>
            </w:r>
          </w:p>
        </w:tc>
        <w:tc>
          <w:tcPr>
            <w:tcW w:type="dxa" w:w="3389"/>
            <w:vAlign w:val="center"/>
          </w:tcPr>
          <w:p>
            <w:pPr>
              <w:jc w:val="center"/>
            </w:pPr>
            <w:r>
              <w:rPr>
                <w:color w:val="0F172A"/>
                <w:sz w:val="17"/>
              </w:rPr>
              <w:t>12</w:t>
            </w:r>
          </w:p>
        </w:tc>
      </w:tr>
      <w:tr>
        <w:tc>
          <w:tcPr>
            <w:tcW w:type="dxa" w:w="3389"/>
            <w:vAlign w:val="center"/>
          </w:tcPr>
          <w:p>
            <w:pPr>
              <w:jc w:val="left"/>
            </w:pPr>
            <w:r>
              <w:rPr>
                <w:color w:val="0F172A"/>
                <w:sz w:val="17"/>
              </w:rPr>
              <w:t>Mid Risk</w:t>
            </w:r>
          </w:p>
        </w:tc>
        <w:tc>
          <w:tcPr>
            <w:tcW w:type="dxa" w:w="3389"/>
            <w:vAlign w:val="center"/>
          </w:tcPr>
          <w:p>
            <w:pPr>
              <w:jc w:val="center"/>
            </w:pPr>
            <w:r>
              <w:rPr>
                <w:color w:val="0F172A"/>
                <w:sz w:val="17"/>
              </w:rPr>
              <w:t>Mid Risk</w:t>
            </w:r>
          </w:p>
        </w:tc>
        <w:tc>
          <w:tcPr>
            <w:tcW w:type="dxa" w:w="3389"/>
            <w:vAlign w:val="center"/>
          </w:tcPr>
          <w:p>
            <w:pPr>
              <w:jc w:val="center"/>
            </w:pPr>
            <w:r>
              <w:rPr>
                <w:color w:val="0F172A"/>
                <w:sz w:val="17"/>
              </w:rPr>
              <w:t>10</w:t>
            </w:r>
          </w:p>
        </w:tc>
      </w:tr>
      <w:tr>
        <w:tc>
          <w:tcPr>
            <w:tcW w:type="dxa" w:w="3389"/>
            <w:vAlign w:val="center"/>
          </w:tcPr>
          <w:p>
            <w:pPr>
              <w:jc w:val="left"/>
            </w:pPr>
            <w:r>
              <w:rPr>
                <w:color w:val="0F172A"/>
                <w:sz w:val="17"/>
              </w:rPr>
              <w:t>High Risk</w:t>
            </w:r>
          </w:p>
        </w:tc>
        <w:tc>
          <w:tcPr>
            <w:tcW w:type="dxa" w:w="3389"/>
            <w:vAlign w:val="center"/>
          </w:tcPr>
          <w:p>
            <w:pPr>
              <w:jc w:val="center"/>
            </w:pPr>
            <w:r>
              <w:rPr>
                <w:color w:val="0F172A"/>
                <w:sz w:val="17"/>
              </w:rPr>
              <w:t>Low Risk</w:t>
            </w:r>
          </w:p>
        </w:tc>
        <w:tc>
          <w:tcPr>
            <w:tcW w:type="dxa" w:w="3389"/>
            <w:vAlign w:val="center"/>
          </w:tcPr>
          <w:p>
            <w:pPr>
              <w:jc w:val="center"/>
            </w:pPr>
            <w:r>
              <w:rPr>
                <w:color w:val="0F172A"/>
                <w:sz w:val="17"/>
              </w:rPr>
              <w:t>5</w:t>
            </w:r>
          </w:p>
        </w:tc>
      </w:tr>
      <w:tr>
        <w:tc>
          <w:tcPr>
            <w:tcW w:type="dxa" w:w="3389"/>
            <w:vAlign w:val="center"/>
          </w:tcPr>
          <w:p>
            <w:pPr>
              <w:jc w:val="left"/>
            </w:pPr>
            <w:r>
              <w:rPr>
                <w:color w:val="0F172A"/>
                <w:sz w:val="17"/>
              </w:rPr>
              <w:t>High Risk</w:t>
            </w:r>
          </w:p>
        </w:tc>
        <w:tc>
          <w:tcPr>
            <w:tcW w:type="dxa" w:w="3389"/>
            <w:vAlign w:val="center"/>
          </w:tcPr>
          <w:p>
            <w:pPr>
              <w:jc w:val="center"/>
            </w:pPr>
            <w:r>
              <w:rPr>
                <w:color w:val="0F172A"/>
                <w:sz w:val="17"/>
              </w:rPr>
              <w:t>Mid Risk</w:t>
            </w:r>
          </w:p>
        </w:tc>
        <w:tc>
          <w:tcPr>
            <w:tcW w:type="dxa" w:w="3389"/>
            <w:vAlign w:val="center"/>
          </w:tcPr>
          <w:p>
            <w:pPr>
              <w:jc w:val="center"/>
            </w:pPr>
            <w:r>
              <w:rPr>
                <w:color w:val="0F172A"/>
                <w:sz w:val="17"/>
              </w:rPr>
              <w:t>5</w:t>
            </w:r>
          </w:p>
        </w:tc>
      </w:tr>
      <w:tr>
        <w:tc>
          <w:tcPr>
            <w:tcW w:type="dxa" w:w="3389"/>
            <w:vAlign w:val="center"/>
          </w:tcPr>
          <w:p>
            <w:pPr>
              <w:jc w:val="left"/>
            </w:pPr>
            <w:r>
              <w:rPr>
                <w:color w:val="0F172A"/>
                <w:sz w:val="17"/>
              </w:rPr>
              <w:t>Low Risk</w:t>
            </w:r>
          </w:p>
        </w:tc>
        <w:tc>
          <w:tcPr>
            <w:tcW w:type="dxa" w:w="3389"/>
            <w:vAlign w:val="center"/>
          </w:tcPr>
          <w:p>
            <w:pPr>
              <w:jc w:val="center"/>
            </w:pPr>
            <w:r>
              <w:rPr>
                <w:color w:val="0F172A"/>
                <w:sz w:val="17"/>
              </w:rPr>
              <w:t>High Risk</w:t>
            </w:r>
          </w:p>
        </w:tc>
        <w:tc>
          <w:tcPr>
            <w:tcW w:type="dxa" w:w="3389"/>
            <w:vAlign w:val="center"/>
          </w:tcPr>
          <w:p>
            <w:pPr>
              <w:jc w:val="center"/>
            </w:pPr>
            <w:r>
              <w:rPr>
                <w:color w:val="0F172A"/>
                <w:sz w:val="17"/>
              </w:rPr>
              <w:t>2</w:t>
            </w:r>
          </w:p>
        </w:tc>
      </w:tr>
      <w:tr>
        <w:tc>
          <w:tcPr>
            <w:tcW w:type="dxa" w:w="3389"/>
            <w:vAlign w:val="center"/>
          </w:tcPr>
          <w:p>
            <w:pPr>
              <w:jc w:val="left"/>
            </w:pPr>
            <w:r>
              <w:rPr>
                <w:color w:val="0F172A"/>
                <w:sz w:val="17"/>
              </w:rPr>
              <w:t>Mid Risk</w:t>
            </w:r>
          </w:p>
        </w:tc>
        <w:tc>
          <w:tcPr>
            <w:tcW w:type="dxa" w:w="3389"/>
            <w:vAlign w:val="center"/>
          </w:tcPr>
          <w:p>
            <w:pPr>
              <w:jc w:val="center"/>
            </w:pPr>
            <w:r>
              <w:rPr>
                <w:color w:val="0F172A"/>
                <w:sz w:val="17"/>
              </w:rPr>
              <w:t>High Risk</w:t>
            </w:r>
          </w:p>
        </w:tc>
        <w:tc>
          <w:tcPr>
            <w:tcW w:type="dxa" w:w="3389"/>
            <w:vAlign w:val="center"/>
          </w:tcPr>
          <w:p>
            <w:pPr>
              <w:jc w:val="center"/>
            </w:pPr>
            <w:r>
              <w:rPr>
                <w:color w:val="0F172A"/>
                <w:sz w:val="17"/>
              </w:rPr>
              <w:t>2</w:t>
            </w:r>
          </w:p>
        </w:tc>
      </w:tr>
    </w:tbl>
    <w:p>
      <w:pPr>
        <w:spacing w:after="20"/>
      </w:pPr>
    </w:p>
    <w:p>
      <w:pPr>
        <w:pStyle w:val="Heading2"/>
        <w:spacing w:before="160" w:after="120"/>
      </w:pPr>
      <w:r>
        <w:rPr>
          <w:b/>
          <w:color w:val="047857"/>
        </w:rPr>
        <w:t>9.4 Most confidently wrong records</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tblHeader w:val="true"/>
        </w:trPr>
        <w:tc>
          <w:tcPr>
            <w:tcW w:type="dxa" w:w="924"/>
            <w:shd w:fill="D1FAE5"/>
            <w:vAlign w:val="center"/>
          </w:tcPr>
          <w:p>
            <w:pPr>
              <w:jc w:val="center"/>
            </w:pPr>
            <w:r>
              <w:rPr>
                <w:b/>
                <w:color w:val="065F46"/>
                <w:sz w:val="13"/>
              </w:rPr>
              <w:t>Age</w:t>
            </w:r>
          </w:p>
        </w:tc>
        <w:tc>
          <w:tcPr>
            <w:tcW w:type="dxa" w:w="924"/>
            <w:shd w:fill="D1FAE5"/>
            <w:vAlign w:val="center"/>
          </w:tcPr>
          <w:p>
            <w:pPr>
              <w:jc w:val="center"/>
            </w:pPr>
            <w:r>
              <w:rPr>
                <w:b/>
                <w:color w:val="065F46"/>
                <w:sz w:val="13"/>
              </w:rPr>
              <w:t>Sys</w:t>
            </w:r>
          </w:p>
        </w:tc>
        <w:tc>
          <w:tcPr>
            <w:tcW w:type="dxa" w:w="924"/>
            <w:shd w:fill="D1FAE5"/>
            <w:vAlign w:val="center"/>
          </w:tcPr>
          <w:p>
            <w:pPr>
              <w:jc w:val="center"/>
            </w:pPr>
            <w:r>
              <w:rPr>
                <w:b/>
                <w:color w:val="065F46"/>
                <w:sz w:val="13"/>
              </w:rPr>
              <w:t>Dia</w:t>
            </w:r>
          </w:p>
        </w:tc>
        <w:tc>
          <w:tcPr>
            <w:tcW w:type="dxa" w:w="924"/>
            <w:shd w:fill="D1FAE5"/>
            <w:vAlign w:val="center"/>
          </w:tcPr>
          <w:p>
            <w:pPr>
              <w:jc w:val="center"/>
            </w:pPr>
            <w:r>
              <w:rPr>
                <w:b/>
                <w:color w:val="065F46"/>
                <w:sz w:val="13"/>
              </w:rPr>
              <w:t>BS</w:t>
            </w:r>
          </w:p>
        </w:tc>
        <w:tc>
          <w:tcPr>
            <w:tcW w:type="dxa" w:w="924"/>
            <w:shd w:fill="D1FAE5"/>
            <w:vAlign w:val="center"/>
          </w:tcPr>
          <w:p>
            <w:pPr>
              <w:jc w:val="center"/>
            </w:pPr>
            <w:r>
              <w:rPr>
                <w:b/>
                <w:color w:val="065F46"/>
                <w:sz w:val="13"/>
              </w:rPr>
              <w:t>Temp</w:t>
            </w:r>
          </w:p>
        </w:tc>
        <w:tc>
          <w:tcPr>
            <w:tcW w:type="dxa" w:w="924"/>
            <w:shd w:fill="D1FAE5"/>
            <w:vAlign w:val="center"/>
          </w:tcPr>
          <w:p>
            <w:pPr>
              <w:jc w:val="center"/>
            </w:pPr>
            <w:r>
              <w:rPr>
                <w:b/>
                <w:color w:val="065F46"/>
                <w:sz w:val="13"/>
              </w:rPr>
              <w:t>HR</w:t>
            </w:r>
          </w:p>
        </w:tc>
        <w:tc>
          <w:tcPr>
            <w:tcW w:type="dxa" w:w="924"/>
            <w:shd w:fill="D1FAE5"/>
            <w:vAlign w:val="center"/>
          </w:tcPr>
          <w:p>
            <w:pPr>
              <w:jc w:val="center"/>
            </w:pPr>
            <w:r>
              <w:rPr>
                <w:b/>
                <w:color w:val="065F46"/>
                <w:sz w:val="13"/>
              </w:rPr>
              <w:t>Actual</w:t>
            </w:r>
          </w:p>
        </w:tc>
        <w:tc>
          <w:tcPr>
            <w:tcW w:type="dxa" w:w="924"/>
            <w:shd w:fill="D1FAE5"/>
            <w:vAlign w:val="center"/>
          </w:tcPr>
          <w:p>
            <w:pPr>
              <w:jc w:val="center"/>
            </w:pPr>
            <w:r>
              <w:rPr>
                <w:b/>
                <w:color w:val="065F46"/>
                <w:sz w:val="13"/>
              </w:rPr>
              <w:t>Predicted</w:t>
            </w:r>
          </w:p>
        </w:tc>
        <w:tc>
          <w:tcPr>
            <w:tcW w:type="dxa" w:w="924"/>
            <w:shd w:fill="D1FAE5"/>
            <w:vAlign w:val="center"/>
          </w:tcPr>
          <w:p>
            <w:pPr>
              <w:jc w:val="center"/>
            </w:pPr>
            <w:r>
              <w:rPr>
                <w:b/>
                <w:color w:val="065F46"/>
                <w:sz w:val="13"/>
              </w:rPr>
              <w:t>Confidence</w:t>
            </w:r>
          </w:p>
        </w:tc>
        <w:tc>
          <w:tcPr>
            <w:tcW w:type="dxa" w:w="924"/>
            <w:shd w:fill="D1FAE5"/>
            <w:vAlign w:val="center"/>
          </w:tcPr>
          <w:p>
            <w:pPr>
              <w:jc w:val="center"/>
            </w:pPr>
            <w:r>
              <w:rPr>
                <w:b/>
                <w:color w:val="065F46"/>
                <w:sz w:val="13"/>
              </w:rPr>
              <w:t>Age group</w:t>
            </w:r>
          </w:p>
        </w:tc>
        <w:tc>
          <w:tcPr>
            <w:tcW w:type="dxa" w:w="924"/>
            <w:shd w:fill="D1FAE5"/>
            <w:vAlign w:val="center"/>
          </w:tcPr>
          <w:p>
            <w:pPr>
              <w:jc w:val="center"/>
            </w:pPr>
            <w:r>
              <w:rPr>
                <w:b/>
                <w:color w:val="065F46"/>
                <w:sz w:val="13"/>
              </w:rPr>
              <w:t>Conflict</w:t>
            </w:r>
          </w:p>
        </w:tc>
      </w:tr>
      <w:tr>
        <w:tc>
          <w:tcPr>
            <w:tcW w:type="dxa" w:w="924"/>
            <w:vAlign w:val="center"/>
          </w:tcPr>
          <w:p>
            <w:pPr>
              <w:jc w:val="left"/>
            </w:pPr>
            <w:r>
              <w:rPr>
                <w:color w:val="0F172A"/>
                <w:sz w:val="13"/>
              </w:rPr>
              <w:t>27</w:t>
            </w:r>
          </w:p>
        </w:tc>
        <w:tc>
          <w:tcPr>
            <w:tcW w:type="dxa" w:w="924"/>
            <w:vAlign w:val="center"/>
          </w:tcPr>
          <w:p>
            <w:pPr>
              <w:jc w:val="center"/>
            </w:pPr>
            <w:r>
              <w:rPr>
                <w:color w:val="0F172A"/>
                <w:sz w:val="13"/>
              </w:rPr>
              <w:t>135</w:t>
            </w:r>
          </w:p>
        </w:tc>
        <w:tc>
          <w:tcPr>
            <w:tcW w:type="dxa" w:w="924"/>
            <w:vAlign w:val="center"/>
          </w:tcPr>
          <w:p>
            <w:pPr>
              <w:jc w:val="center"/>
            </w:pPr>
            <w:r>
              <w:rPr>
                <w:color w:val="0F172A"/>
                <w:sz w:val="13"/>
              </w:rPr>
              <w:t>60</w:t>
            </w:r>
          </w:p>
        </w:tc>
        <w:tc>
          <w:tcPr>
            <w:tcW w:type="dxa" w:w="924"/>
            <w:vAlign w:val="center"/>
          </w:tcPr>
          <w:p>
            <w:pPr>
              <w:jc w:val="center"/>
            </w:pPr>
            <w:r>
              <w:rPr>
                <w:color w:val="0F172A"/>
                <w:sz w:val="13"/>
              </w:rPr>
              <w:t>7.5</w:t>
            </w:r>
          </w:p>
        </w:tc>
        <w:tc>
          <w:tcPr>
            <w:tcW w:type="dxa" w:w="924"/>
            <w:vAlign w:val="center"/>
          </w:tcPr>
          <w:p>
            <w:pPr>
              <w:jc w:val="center"/>
            </w:pPr>
            <w:r>
              <w:rPr>
                <w:color w:val="0F172A"/>
                <w:sz w:val="13"/>
              </w:rPr>
              <w:t>101.0</w:t>
            </w:r>
          </w:p>
        </w:tc>
        <w:tc>
          <w:tcPr>
            <w:tcW w:type="dxa" w:w="924"/>
            <w:vAlign w:val="center"/>
          </w:tcPr>
          <w:p>
            <w:pPr>
              <w:jc w:val="center"/>
            </w:pPr>
            <w:r>
              <w:rPr>
                <w:color w:val="0F172A"/>
                <w:sz w:val="13"/>
              </w:rPr>
              <w:t>86</w:t>
            </w:r>
          </w:p>
        </w:tc>
        <w:tc>
          <w:tcPr>
            <w:tcW w:type="dxa" w:w="924"/>
            <w:vAlign w:val="center"/>
          </w:tcPr>
          <w:p>
            <w:pPr>
              <w:jc w:val="center"/>
            </w:pPr>
            <w:r>
              <w:rPr>
                <w:color w:val="0F172A"/>
                <w:sz w:val="13"/>
              </w:rPr>
              <w:t>high risk</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0.823</w:t>
            </w:r>
          </w:p>
        </w:tc>
        <w:tc>
          <w:tcPr>
            <w:tcW w:type="dxa" w:w="924"/>
            <w:vAlign w:val="center"/>
          </w:tcPr>
          <w:p>
            <w:pPr>
              <w:jc w:val="center"/>
            </w:pPr>
            <w:r>
              <w:rPr>
                <w:color w:val="0F172A"/>
                <w:sz w:val="13"/>
              </w:rPr>
              <w:t>20-34</w:t>
            </w:r>
          </w:p>
        </w:tc>
        <w:tc>
          <w:tcPr>
            <w:tcW w:type="dxa" w:w="924"/>
            <w:vAlign w:val="center"/>
          </w:tcPr>
          <w:p>
            <w:pPr>
              <w:jc w:val="center"/>
            </w:pPr>
            <w:r>
              <w:rPr>
                <w:color w:val="0F172A"/>
                <w:sz w:val="13"/>
              </w:rPr>
              <w:t>False</w:t>
            </w:r>
          </w:p>
        </w:tc>
      </w:tr>
      <w:tr>
        <w:tc>
          <w:tcPr>
            <w:tcW w:type="dxa" w:w="924"/>
            <w:vAlign w:val="center"/>
          </w:tcPr>
          <w:p>
            <w:pPr>
              <w:jc w:val="left"/>
            </w:pPr>
            <w:r>
              <w:rPr>
                <w:color w:val="0F172A"/>
                <w:sz w:val="13"/>
              </w:rPr>
              <w:t>16</w:t>
            </w:r>
          </w:p>
        </w:tc>
        <w:tc>
          <w:tcPr>
            <w:tcW w:type="dxa" w:w="924"/>
            <w:vAlign w:val="center"/>
          </w:tcPr>
          <w:p>
            <w:pPr>
              <w:jc w:val="center"/>
            </w:pPr>
            <w:r>
              <w:rPr>
                <w:color w:val="0F172A"/>
                <w:sz w:val="13"/>
              </w:rPr>
              <w:t>90</w:t>
            </w:r>
          </w:p>
        </w:tc>
        <w:tc>
          <w:tcPr>
            <w:tcW w:type="dxa" w:w="924"/>
            <w:vAlign w:val="center"/>
          </w:tcPr>
          <w:p>
            <w:pPr>
              <w:jc w:val="center"/>
            </w:pPr>
            <w:r>
              <w:rPr>
                <w:color w:val="0F172A"/>
                <w:sz w:val="13"/>
              </w:rPr>
              <w:t>65</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98.0</w:t>
            </w:r>
          </w:p>
        </w:tc>
        <w:tc>
          <w:tcPr>
            <w:tcW w:type="dxa" w:w="924"/>
            <w:vAlign w:val="center"/>
          </w:tcPr>
          <w:p>
            <w:pPr>
              <w:jc w:val="center"/>
            </w:pPr>
            <w:r>
              <w:rPr>
                <w:color w:val="0F172A"/>
                <w:sz w:val="13"/>
              </w:rPr>
              <w:t>76</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0.817</w:t>
            </w:r>
          </w:p>
        </w:tc>
        <w:tc>
          <w:tcPr>
            <w:tcW w:type="dxa" w:w="924"/>
            <w:vAlign w:val="center"/>
          </w:tcPr>
          <w:p>
            <w:pPr>
              <w:jc w:val="center"/>
            </w:pPr>
            <w:r>
              <w:rPr>
                <w:color w:val="0F172A"/>
                <w:sz w:val="13"/>
              </w:rPr>
              <w:t>&lt;=19</w:t>
            </w:r>
          </w:p>
        </w:tc>
        <w:tc>
          <w:tcPr>
            <w:tcW w:type="dxa" w:w="924"/>
            <w:vAlign w:val="center"/>
          </w:tcPr>
          <w:p>
            <w:pPr>
              <w:jc w:val="center"/>
            </w:pPr>
            <w:r>
              <w:rPr>
                <w:color w:val="0F172A"/>
                <w:sz w:val="13"/>
              </w:rPr>
              <w:t>False</w:t>
            </w:r>
          </w:p>
        </w:tc>
      </w:tr>
      <w:tr>
        <w:tc>
          <w:tcPr>
            <w:tcW w:type="dxa" w:w="924"/>
            <w:vAlign w:val="center"/>
          </w:tcPr>
          <w:p>
            <w:pPr>
              <w:jc w:val="left"/>
            </w:pPr>
            <w:r>
              <w:rPr>
                <w:color w:val="0F172A"/>
                <w:sz w:val="13"/>
              </w:rPr>
              <w:t>16</w:t>
            </w:r>
          </w:p>
        </w:tc>
        <w:tc>
          <w:tcPr>
            <w:tcW w:type="dxa" w:w="924"/>
            <w:vAlign w:val="center"/>
          </w:tcPr>
          <w:p>
            <w:pPr>
              <w:jc w:val="center"/>
            </w:pPr>
            <w:r>
              <w:rPr>
                <w:color w:val="0F172A"/>
                <w:sz w:val="13"/>
              </w:rPr>
              <w:t>90</w:t>
            </w:r>
          </w:p>
        </w:tc>
        <w:tc>
          <w:tcPr>
            <w:tcW w:type="dxa" w:w="924"/>
            <w:vAlign w:val="center"/>
          </w:tcPr>
          <w:p>
            <w:pPr>
              <w:jc w:val="center"/>
            </w:pPr>
            <w:r>
              <w:rPr>
                <w:color w:val="0F172A"/>
                <w:sz w:val="13"/>
              </w:rPr>
              <w:t>65</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98.0</w:t>
            </w:r>
          </w:p>
        </w:tc>
        <w:tc>
          <w:tcPr>
            <w:tcW w:type="dxa" w:w="924"/>
            <w:vAlign w:val="center"/>
          </w:tcPr>
          <w:p>
            <w:pPr>
              <w:jc w:val="center"/>
            </w:pPr>
            <w:r>
              <w:rPr>
                <w:color w:val="0F172A"/>
                <w:sz w:val="13"/>
              </w:rPr>
              <w:t>76</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0.817</w:t>
            </w:r>
          </w:p>
        </w:tc>
        <w:tc>
          <w:tcPr>
            <w:tcW w:type="dxa" w:w="924"/>
            <w:vAlign w:val="center"/>
          </w:tcPr>
          <w:p>
            <w:pPr>
              <w:jc w:val="center"/>
            </w:pPr>
            <w:r>
              <w:rPr>
                <w:color w:val="0F172A"/>
                <w:sz w:val="13"/>
              </w:rPr>
              <w:t>&lt;=19</w:t>
            </w:r>
          </w:p>
        </w:tc>
        <w:tc>
          <w:tcPr>
            <w:tcW w:type="dxa" w:w="924"/>
            <w:vAlign w:val="center"/>
          </w:tcPr>
          <w:p>
            <w:pPr>
              <w:jc w:val="center"/>
            </w:pPr>
            <w:r>
              <w:rPr>
                <w:color w:val="0F172A"/>
                <w:sz w:val="13"/>
              </w:rPr>
              <w:t>False</w:t>
            </w:r>
          </w:p>
        </w:tc>
      </w:tr>
      <w:tr>
        <w:tc>
          <w:tcPr>
            <w:tcW w:type="dxa" w:w="924"/>
            <w:vAlign w:val="center"/>
          </w:tcPr>
          <w:p>
            <w:pPr>
              <w:jc w:val="left"/>
            </w:pPr>
            <w:r>
              <w:rPr>
                <w:color w:val="0F172A"/>
                <w:sz w:val="13"/>
              </w:rPr>
              <w:t>16</w:t>
            </w:r>
          </w:p>
        </w:tc>
        <w:tc>
          <w:tcPr>
            <w:tcW w:type="dxa" w:w="924"/>
            <w:vAlign w:val="center"/>
          </w:tcPr>
          <w:p>
            <w:pPr>
              <w:jc w:val="center"/>
            </w:pPr>
            <w:r>
              <w:rPr>
                <w:color w:val="0F172A"/>
                <w:sz w:val="13"/>
              </w:rPr>
              <w:t>90</w:t>
            </w:r>
          </w:p>
        </w:tc>
        <w:tc>
          <w:tcPr>
            <w:tcW w:type="dxa" w:w="924"/>
            <w:vAlign w:val="center"/>
          </w:tcPr>
          <w:p>
            <w:pPr>
              <w:jc w:val="center"/>
            </w:pPr>
            <w:r>
              <w:rPr>
                <w:color w:val="0F172A"/>
                <w:sz w:val="13"/>
              </w:rPr>
              <w:t>65</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98.0</w:t>
            </w:r>
          </w:p>
        </w:tc>
        <w:tc>
          <w:tcPr>
            <w:tcW w:type="dxa" w:w="924"/>
            <w:vAlign w:val="center"/>
          </w:tcPr>
          <w:p>
            <w:pPr>
              <w:jc w:val="center"/>
            </w:pPr>
            <w:r>
              <w:rPr>
                <w:color w:val="0F172A"/>
                <w:sz w:val="13"/>
              </w:rPr>
              <w:t>76</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0.817</w:t>
            </w:r>
          </w:p>
        </w:tc>
        <w:tc>
          <w:tcPr>
            <w:tcW w:type="dxa" w:w="924"/>
            <w:vAlign w:val="center"/>
          </w:tcPr>
          <w:p>
            <w:pPr>
              <w:jc w:val="center"/>
            </w:pPr>
            <w:r>
              <w:rPr>
                <w:color w:val="0F172A"/>
                <w:sz w:val="13"/>
              </w:rPr>
              <w:t>&lt;=19</w:t>
            </w:r>
          </w:p>
        </w:tc>
        <w:tc>
          <w:tcPr>
            <w:tcW w:type="dxa" w:w="924"/>
            <w:vAlign w:val="center"/>
          </w:tcPr>
          <w:p>
            <w:pPr>
              <w:jc w:val="center"/>
            </w:pPr>
            <w:r>
              <w:rPr>
                <w:color w:val="0F172A"/>
                <w:sz w:val="13"/>
              </w:rPr>
              <w:t>False</w:t>
            </w:r>
          </w:p>
        </w:tc>
      </w:tr>
      <w:tr>
        <w:tc>
          <w:tcPr>
            <w:tcW w:type="dxa" w:w="924"/>
            <w:vAlign w:val="center"/>
          </w:tcPr>
          <w:p>
            <w:pPr>
              <w:jc w:val="left"/>
            </w:pPr>
            <w:r>
              <w:rPr>
                <w:color w:val="0F172A"/>
                <w:sz w:val="13"/>
              </w:rPr>
              <w:t>21</w:t>
            </w:r>
          </w:p>
        </w:tc>
        <w:tc>
          <w:tcPr>
            <w:tcW w:type="dxa" w:w="924"/>
            <w:vAlign w:val="center"/>
          </w:tcPr>
          <w:p>
            <w:pPr>
              <w:jc w:val="center"/>
            </w:pPr>
            <w:r>
              <w:rPr>
                <w:color w:val="0F172A"/>
                <w:sz w:val="13"/>
              </w:rPr>
              <w:t>90</w:t>
            </w:r>
          </w:p>
        </w:tc>
        <w:tc>
          <w:tcPr>
            <w:tcW w:type="dxa" w:w="924"/>
            <w:vAlign w:val="center"/>
          </w:tcPr>
          <w:p>
            <w:pPr>
              <w:jc w:val="center"/>
            </w:pPr>
            <w:r>
              <w:rPr>
                <w:color w:val="0F172A"/>
                <w:sz w:val="13"/>
              </w:rPr>
              <w:t>65</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98.0</w:t>
            </w:r>
          </w:p>
        </w:tc>
        <w:tc>
          <w:tcPr>
            <w:tcW w:type="dxa" w:w="924"/>
            <w:vAlign w:val="center"/>
          </w:tcPr>
          <w:p>
            <w:pPr>
              <w:jc w:val="center"/>
            </w:pPr>
            <w:r>
              <w:rPr>
                <w:color w:val="0F172A"/>
                <w:sz w:val="13"/>
              </w:rPr>
              <w:t>76</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0.770</w:t>
            </w:r>
          </w:p>
        </w:tc>
        <w:tc>
          <w:tcPr>
            <w:tcW w:type="dxa" w:w="924"/>
            <w:vAlign w:val="center"/>
          </w:tcPr>
          <w:p>
            <w:pPr>
              <w:jc w:val="center"/>
            </w:pPr>
            <w:r>
              <w:rPr>
                <w:color w:val="0F172A"/>
                <w:sz w:val="13"/>
              </w:rPr>
              <w:t>20-34</w:t>
            </w:r>
          </w:p>
        </w:tc>
        <w:tc>
          <w:tcPr>
            <w:tcW w:type="dxa" w:w="924"/>
            <w:vAlign w:val="center"/>
          </w:tcPr>
          <w:p>
            <w:pPr>
              <w:jc w:val="center"/>
            </w:pPr>
            <w:r>
              <w:rPr>
                <w:color w:val="0F172A"/>
                <w:sz w:val="13"/>
              </w:rPr>
              <w:t>True</w:t>
            </w:r>
          </w:p>
        </w:tc>
      </w:tr>
      <w:tr>
        <w:tc>
          <w:tcPr>
            <w:tcW w:type="dxa" w:w="924"/>
            <w:vAlign w:val="center"/>
          </w:tcPr>
          <w:p>
            <w:pPr>
              <w:jc w:val="left"/>
            </w:pPr>
            <w:r>
              <w:rPr>
                <w:color w:val="0F172A"/>
                <w:sz w:val="13"/>
              </w:rPr>
              <w:t>21</w:t>
            </w:r>
          </w:p>
        </w:tc>
        <w:tc>
          <w:tcPr>
            <w:tcW w:type="dxa" w:w="924"/>
            <w:vAlign w:val="center"/>
          </w:tcPr>
          <w:p>
            <w:pPr>
              <w:jc w:val="center"/>
            </w:pPr>
            <w:r>
              <w:rPr>
                <w:color w:val="0F172A"/>
                <w:sz w:val="13"/>
              </w:rPr>
              <w:t>90</w:t>
            </w:r>
          </w:p>
        </w:tc>
        <w:tc>
          <w:tcPr>
            <w:tcW w:type="dxa" w:w="924"/>
            <w:vAlign w:val="center"/>
          </w:tcPr>
          <w:p>
            <w:pPr>
              <w:jc w:val="center"/>
            </w:pPr>
            <w:r>
              <w:rPr>
                <w:color w:val="0F172A"/>
                <w:sz w:val="13"/>
              </w:rPr>
              <w:t>65</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98.0</w:t>
            </w:r>
          </w:p>
        </w:tc>
        <w:tc>
          <w:tcPr>
            <w:tcW w:type="dxa" w:w="924"/>
            <w:vAlign w:val="center"/>
          </w:tcPr>
          <w:p>
            <w:pPr>
              <w:jc w:val="center"/>
            </w:pPr>
            <w:r>
              <w:rPr>
                <w:color w:val="0F172A"/>
                <w:sz w:val="13"/>
              </w:rPr>
              <w:t>76</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0.770</w:t>
            </w:r>
          </w:p>
        </w:tc>
        <w:tc>
          <w:tcPr>
            <w:tcW w:type="dxa" w:w="924"/>
            <w:vAlign w:val="center"/>
          </w:tcPr>
          <w:p>
            <w:pPr>
              <w:jc w:val="center"/>
            </w:pPr>
            <w:r>
              <w:rPr>
                <w:color w:val="0F172A"/>
                <w:sz w:val="13"/>
              </w:rPr>
              <w:t>20-34</w:t>
            </w:r>
          </w:p>
        </w:tc>
        <w:tc>
          <w:tcPr>
            <w:tcW w:type="dxa" w:w="924"/>
            <w:vAlign w:val="center"/>
          </w:tcPr>
          <w:p>
            <w:pPr>
              <w:jc w:val="center"/>
            </w:pPr>
            <w:r>
              <w:rPr>
                <w:color w:val="0F172A"/>
                <w:sz w:val="13"/>
              </w:rPr>
              <w:t>True</w:t>
            </w:r>
          </w:p>
        </w:tc>
      </w:tr>
      <w:tr>
        <w:tc>
          <w:tcPr>
            <w:tcW w:type="dxa" w:w="924"/>
            <w:vAlign w:val="center"/>
          </w:tcPr>
          <w:p>
            <w:pPr>
              <w:jc w:val="left"/>
            </w:pPr>
            <w:r>
              <w:rPr>
                <w:color w:val="0F172A"/>
                <w:sz w:val="13"/>
              </w:rPr>
              <w:t>21</w:t>
            </w:r>
          </w:p>
        </w:tc>
        <w:tc>
          <w:tcPr>
            <w:tcW w:type="dxa" w:w="924"/>
            <w:vAlign w:val="center"/>
          </w:tcPr>
          <w:p>
            <w:pPr>
              <w:jc w:val="center"/>
            </w:pPr>
            <w:r>
              <w:rPr>
                <w:color w:val="0F172A"/>
                <w:sz w:val="13"/>
              </w:rPr>
              <w:t>90</w:t>
            </w:r>
          </w:p>
        </w:tc>
        <w:tc>
          <w:tcPr>
            <w:tcW w:type="dxa" w:w="924"/>
            <w:vAlign w:val="center"/>
          </w:tcPr>
          <w:p>
            <w:pPr>
              <w:jc w:val="center"/>
            </w:pPr>
            <w:r>
              <w:rPr>
                <w:color w:val="0F172A"/>
                <w:sz w:val="13"/>
              </w:rPr>
              <w:t>65</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98.0</w:t>
            </w:r>
          </w:p>
        </w:tc>
        <w:tc>
          <w:tcPr>
            <w:tcW w:type="dxa" w:w="924"/>
            <w:vAlign w:val="center"/>
          </w:tcPr>
          <w:p>
            <w:pPr>
              <w:jc w:val="center"/>
            </w:pPr>
            <w:r>
              <w:rPr>
                <w:color w:val="0F172A"/>
                <w:sz w:val="13"/>
              </w:rPr>
              <w:t>76</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0.770</w:t>
            </w:r>
          </w:p>
        </w:tc>
        <w:tc>
          <w:tcPr>
            <w:tcW w:type="dxa" w:w="924"/>
            <w:vAlign w:val="center"/>
          </w:tcPr>
          <w:p>
            <w:pPr>
              <w:jc w:val="center"/>
            </w:pPr>
            <w:r>
              <w:rPr>
                <w:color w:val="0F172A"/>
                <w:sz w:val="13"/>
              </w:rPr>
              <w:t>20-34</w:t>
            </w:r>
          </w:p>
        </w:tc>
        <w:tc>
          <w:tcPr>
            <w:tcW w:type="dxa" w:w="924"/>
            <w:vAlign w:val="center"/>
          </w:tcPr>
          <w:p>
            <w:pPr>
              <w:jc w:val="center"/>
            </w:pPr>
            <w:r>
              <w:rPr>
                <w:color w:val="0F172A"/>
                <w:sz w:val="13"/>
              </w:rPr>
              <w:t>True</w:t>
            </w:r>
          </w:p>
        </w:tc>
      </w:tr>
      <w:tr>
        <w:tc>
          <w:tcPr>
            <w:tcW w:type="dxa" w:w="924"/>
            <w:vAlign w:val="center"/>
          </w:tcPr>
          <w:p>
            <w:pPr>
              <w:jc w:val="left"/>
            </w:pPr>
            <w:r>
              <w:rPr>
                <w:color w:val="0F172A"/>
                <w:sz w:val="13"/>
              </w:rPr>
              <w:t>45</w:t>
            </w:r>
          </w:p>
        </w:tc>
        <w:tc>
          <w:tcPr>
            <w:tcW w:type="dxa" w:w="924"/>
            <w:vAlign w:val="center"/>
          </w:tcPr>
          <w:p>
            <w:pPr>
              <w:jc w:val="center"/>
            </w:pPr>
            <w:r>
              <w:rPr>
                <w:color w:val="0F172A"/>
                <w:sz w:val="13"/>
              </w:rPr>
              <w:t>120</w:t>
            </w:r>
          </w:p>
        </w:tc>
        <w:tc>
          <w:tcPr>
            <w:tcW w:type="dxa" w:w="924"/>
            <w:vAlign w:val="center"/>
          </w:tcPr>
          <w:p>
            <w:pPr>
              <w:jc w:val="center"/>
            </w:pPr>
            <w:r>
              <w:rPr>
                <w:color w:val="0F172A"/>
                <w:sz w:val="13"/>
              </w:rPr>
              <w:t>80</w:t>
            </w:r>
          </w:p>
        </w:tc>
        <w:tc>
          <w:tcPr>
            <w:tcW w:type="dxa" w:w="924"/>
            <w:vAlign w:val="center"/>
          </w:tcPr>
          <w:p>
            <w:pPr>
              <w:jc w:val="center"/>
            </w:pPr>
            <w:r>
              <w:rPr>
                <w:color w:val="0F172A"/>
                <w:sz w:val="13"/>
              </w:rPr>
              <w:t>6.9</w:t>
            </w:r>
          </w:p>
        </w:tc>
        <w:tc>
          <w:tcPr>
            <w:tcW w:type="dxa" w:w="924"/>
            <w:vAlign w:val="center"/>
          </w:tcPr>
          <w:p>
            <w:pPr>
              <w:jc w:val="center"/>
            </w:pPr>
            <w:r>
              <w:rPr>
                <w:color w:val="0F172A"/>
                <w:sz w:val="13"/>
              </w:rPr>
              <w:t>103.0</w:t>
            </w:r>
          </w:p>
        </w:tc>
        <w:tc>
          <w:tcPr>
            <w:tcW w:type="dxa" w:w="924"/>
            <w:vAlign w:val="center"/>
          </w:tcPr>
          <w:p>
            <w:pPr>
              <w:jc w:val="center"/>
            </w:pPr>
            <w:r>
              <w:rPr>
                <w:color w:val="0F172A"/>
                <w:sz w:val="13"/>
              </w:rPr>
              <w:t>70</w:t>
            </w:r>
          </w:p>
        </w:tc>
        <w:tc>
          <w:tcPr>
            <w:tcW w:type="dxa" w:w="924"/>
            <w:vAlign w:val="center"/>
          </w:tcPr>
          <w:p>
            <w:pPr>
              <w:jc w:val="center"/>
            </w:pPr>
            <w:r>
              <w:rPr>
                <w:color w:val="0F172A"/>
                <w:sz w:val="13"/>
              </w:rPr>
              <w:t>low risk</w:t>
            </w:r>
          </w:p>
        </w:tc>
        <w:tc>
          <w:tcPr>
            <w:tcW w:type="dxa" w:w="924"/>
            <w:vAlign w:val="center"/>
          </w:tcPr>
          <w:p>
            <w:pPr>
              <w:jc w:val="center"/>
            </w:pPr>
            <w:r>
              <w:rPr>
                <w:color w:val="0F172A"/>
                <w:sz w:val="13"/>
              </w:rPr>
              <w:t>mid risk</w:t>
            </w:r>
          </w:p>
        </w:tc>
        <w:tc>
          <w:tcPr>
            <w:tcW w:type="dxa" w:w="924"/>
            <w:vAlign w:val="center"/>
          </w:tcPr>
          <w:p>
            <w:pPr>
              <w:jc w:val="center"/>
            </w:pPr>
            <w:r>
              <w:rPr>
                <w:color w:val="0F172A"/>
                <w:sz w:val="13"/>
              </w:rPr>
              <w:t>0.687</w:t>
            </w:r>
          </w:p>
        </w:tc>
        <w:tc>
          <w:tcPr>
            <w:tcW w:type="dxa" w:w="924"/>
            <w:vAlign w:val="center"/>
          </w:tcPr>
          <w:p>
            <w:pPr>
              <w:jc w:val="center"/>
            </w:pPr>
            <w:r>
              <w:rPr>
                <w:color w:val="0F172A"/>
                <w:sz w:val="13"/>
              </w:rPr>
              <w:t>35-49</w:t>
            </w:r>
          </w:p>
        </w:tc>
        <w:tc>
          <w:tcPr>
            <w:tcW w:type="dxa" w:w="924"/>
            <w:vAlign w:val="center"/>
          </w:tcPr>
          <w:p>
            <w:pPr>
              <w:jc w:val="center"/>
            </w:pPr>
            <w:r>
              <w:rPr>
                <w:color w:val="0F172A"/>
                <w:sz w:val="13"/>
              </w:rPr>
              <w:t>False</w:t>
            </w:r>
          </w:p>
        </w:tc>
      </w:tr>
    </w:tbl>
    <w:p>
      <w:pPr>
        <w:spacing w:after="20"/>
      </w:pPr>
    </w:p>
    <w:p>
      <w:pPr>
        <w:pStyle w:val="Heading1"/>
        <w:spacing w:before="160" w:after="120"/>
      </w:pPr>
      <w:r>
        <w:rPr>
          <w:b/>
          <w:color w:val="065F46"/>
        </w:rPr>
        <w:t>10. Frontend and System Design</w:t>
      </w:r>
    </w:p>
    <w:p>
      <w:pPr>
        <w:spacing w:after="100" w:line="269" w:lineRule="auto"/>
      </w:pPr>
      <w:r>
        <w:t>The Streamlit frontend is designed for a professional capstone demonstration. It uses plain-language labels, grouped measurements, an explicit acknowledgement, result-state clearing, model-score bars, uncertainty communication, local explanations, a one-variable what-if tool and downloadable summaries.</w:t>
      </w:r>
    </w:p>
    <w:p>
      <w:pPr>
        <w:jc w:val="center"/>
      </w:pPr>
      <w:r>
        <w:drawing>
          <wp:inline xmlns:a="http://schemas.openxmlformats.org/drawingml/2006/main" xmlns:pic="http://schemas.openxmlformats.org/drawingml/2006/picture">
            <wp:extent cx="6035040" cy="4844796"/>
            <wp:docPr id="15" name="Picture 15"/>
            <wp:cNvGraphicFramePr>
              <a:graphicFrameLocks noChangeAspect="1"/>
            </wp:cNvGraphicFramePr>
            <a:graphic>
              <a:graphicData uri="http://schemas.openxmlformats.org/drawingml/2006/picture">
                <pic:pic>
                  <pic:nvPicPr>
                    <pic:cNvPr id="0" name="mamacare_frontend_preview.png"/>
                    <pic:cNvPicPr/>
                  </pic:nvPicPr>
                  <pic:blipFill>
                    <a:blip r:embed="rId11"/>
                    <a:stretch>
                      <a:fillRect/>
                    </a:stretch>
                  </pic:blipFill>
                  <pic:spPr>
                    <a:xfrm>
                      <a:off x="0" y="0"/>
                      <a:ext cx="6035040" cy="4844796"/>
                    </a:xfrm>
                    <a:prstGeom prst="rect"/>
                  </pic:spPr>
                </pic:pic>
              </a:graphicData>
            </a:graphic>
          </wp:inline>
        </w:drawing>
      </w:r>
    </w:p>
    <w:p>
      <w:pPr>
        <w:spacing w:after="140"/>
        <w:jc w:val="center"/>
      </w:pPr>
      <w:r>
        <w:rPr>
          <w:i/>
          <w:color w:val="475569"/>
          <w:sz w:val="17"/>
        </w:rPr>
        <w:t>Figure 14. Desktop design preview of the MamaCare assessment screen.</w:t>
      </w:r>
    </w:p>
    <w:p>
      <w:pPr>
        <w:pStyle w:val="Heading2"/>
        <w:spacing w:before="160" w:after="120"/>
      </w:pPr>
      <w:r>
        <w:rPr>
          <w:b/>
          <w:color w:val="047857"/>
        </w:rPr>
        <w:t>10.1 Functional Controls</w:t>
      </w:r>
    </w:p>
    <w:p>
      <w:pPr>
        <w:pStyle w:val="ListBullet"/>
        <w:spacing w:after="60"/>
      </w:pPr>
      <w:r>
        <w:t>Load a repeatable demonstration case.</w:t>
      </w:r>
    </w:p>
    <w:p>
      <w:pPr>
        <w:pStyle w:val="ListBullet"/>
        <w:spacing w:after="60"/>
      </w:pPr>
      <w:r>
        <w:t>Select one unavailable measurement.</w:t>
      </w:r>
    </w:p>
    <w:p>
      <w:pPr>
        <w:pStyle w:val="ListBullet"/>
        <w:spacing w:after="60"/>
      </w:pPr>
      <w:r>
        <w:t>Assess maternal risk only after acknowledging the academic-use warning.</w:t>
      </w:r>
    </w:p>
    <w:p>
      <w:pPr>
        <w:pStyle w:val="ListBullet"/>
        <w:spacing w:after="60"/>
      </w:pPr>
      <w:r>
        <w:t>Reset measurements or start a new assessment.</w:t>
      </w:r>
    </w:p>
    <w:p>
      <w:pPr>
        <w:pStyle w:val="ListBullet"/>
        <w:spacing w:after="60"/>
      </w:pPr>
      <w:r>
        <w:t>Compare original and adjusted model outputs.</w:t>
      </w:r>
    </w:p>
    <w:p>
      <w:pPr>
        <w:pStyle w:val="ListBullet"/>
        <w:spacing w:after="60"/>
      </w:pPr>
      <w:r>
        <w:t>Download a text assessment summary.</w:t>
      </w:r>
    </w:p>
    <w:p>
      <w:pPr>
        <w:pStyle w:val="ListBullet"/>
        <w:spacing w:after="60"/>
      </w:pPr>
      <w:r>
        <w:t>Download the Responsible AI statement from the application.</w:t>
      </w:r>
    </w:p>
    <w:p>
      <w:pPr>
        <w:pStyle w:val="Heading2"/>
        <w:spacing w:before="160" w:after="120"/>
      </w:pPr>
      <w:r>
        <w:rPr>
          <w:b/>
          <w:color w:val="047857"/>
        </w:rPr>
        <w:t>10.2 Safety and Accessibility Choices</w:t>
      </w:r>
    </w:p>
    <w:p>
      <w:pPr>
        <w:pStyle w:val="ListBullet"/>
        <w:spacing w:after="60"/>
      </w:pPr>
      <w:r>
        <w:t>No names, phone numbers, identification numbers or addresses are collected.</w:t>
      </w:r>
    </w:p>
    <w:p>
      <w:pPr>
        <w:pStyle w:val="ListBullet"/>
        <w:spacing w:after="60"/>
      </w:pPr>
      <w:r>
        <w:t>Risk is communicated with text, icons/borders and optional colour rather than colour alone.</w:t>
      </w:r>
    </w:p>
    <w:p>
      <w:pPr>
        <w:pStyle w:val="ListBullet"/>
        <w:spacing w:after="60"/>
      </w:pPr>
      <w:r>
        <w:t>All measurements display units.</w:t>
      </w:r>
    </w:p>
    <w:p>
      <w:pPr>
        <w:pStyle w:val="ListBullet"/>
        <w:spacing w:after="60"/>
      </w:pPr>
      <w:r>
        <w:t>Dataset input ranges are explicitly distinguished from clinical reference ranges.</w:t>
      </w:r>
    </w:p>
    <w:p>
      <w:pPr>
        <w:pStyle w:val="ListBullet"/>
        <w:spacing w:after="60"/>
      </w:pPr>
      <w:r>
        <w:t>The model evidence tab exposes weak Mid Risk performance and subgroup differences.</w:t>
      </w:r>
    </w:p>
    <w:tbl>
      <w:tblPr>
        <w:tblW w:type="auto" w:w="0"/>
        <w:jc w:val="center"/>
        <w:tblLook w:firstColumn="1" w:firstRow="1" w:lastColumn="0" w:lastRow="0" w:noHBand="0" w:noVBand="1" w:val="04A0"/>
      </w:tblPr>
      <w:tblGrid>
        <w:gridCol w:w="10166"/>
      </w:tblGrid>
      <w:tr>
        <w:tc>
          <w:tcPr>
            <w:tcW w:type="dxa" w:w="10166"/>
            <w:shd w:fill="FFF7ED"/>
          </w:tcPr>
          <w:p>
            <w:pPr>
              <w:spacing w:after="40"/>
            </w:pPr>
            <w:r>
              <w:rPr>
                <w:b/>
                <w:color w:val="F97316"/>
              </w:rPr>
              <w:t xml:space="preserve">Deployment status: </w:t>
            </w:r>
            <w:r>
              <w:rPr>
                <w:color w:val="0F172A"/>
              </w:rPr>
              <w:t>The frontend is a demonstration interface. Public deployment would still require local clinical review, security assessment and a clearly owned monitoring process.</w:t>
            </w:r>
          </w:p>
        </w:tc>
      </w:tr>
    </w:tbl>
    <w:p>
      <w:pPr>
        <w:spacing w:after="20"/>
      </w:pPr>
    </w:p>
    <w:p>
      <w:pPr>
        <w:pStyle w:val="Heading1"/>
        <w:spacing w:before="160" w:after="120"/>
      </w:pPr>
      <w:r>
        <w:rPr>
          <w:b/>
          <w:color w:val="065F46"/>
        </w:rPr>
        <w:t>11. Responsible AI and Ethical Use</w:t>
      </w:r>
    </w:p>
    <w:p>
      <w:pPr>
        <w:spacing w:after="100" w:line="269" w:lineRule="auto"/>
      </w:pPr>
      <w:r>
        <w:t>The Responsible AI statement identifies affected groups, the worst plausible harm, the distribution of error costs, the absence of a current redress mechanism and a monitoring plan. It also names Equal Opportunity as the fairness criterion and reports the age-group findings.</w:t>
      </w:r>
    </w:p>
    <w:p>
      <w:pPr>
        <w:pStyle w:val="Heading2"/>
        <w:spacing w:before="160" w:after="120"/>
      </w:pPr>
      <w:r>
        <w:rPr>
          <w:b/>
          <w:color w:val="047857"/>
        </w:rPr>
        <w:t>11.1 Who is affected?</w:t>
      </w:r>
    </w:p>
    <w:p>
      <w:pPr>
        <w:spacing w:after="100" w:line="269" w:lineRule="auto"/>
      </w:pPr>
      <w:r>
        <w:t>Users interpreting the output, pregnant people whose records are classified, younger or underrepresented groups, and families affected by the communication of risk can all be influenced by the system.</w:t>
      </w:r>
    </w:p>
    <w:p>
      <w:pPr>
        <w:pStyle w:val="Heading2"/>
        <w:spacing w:before="160" w:after="120"/>
      </w:pPr>
      <w:r>
        <w:rPr>
          <w:b/>
          <w:color w:val="047857"/>
        </w:rPr>
        <w:t>11.2 Worst plausible outcome</w:t>
      </w:r>
    </w:p>
    <w:p>
      <w:pPr>
        <w:spacing w:after="100" w:line="269" w:lineRule="auto"/>
      </w:pPr>
      <w:r>
        <w:t>False reassurance after a missed High Risk case is the main plausible harm. The application therefore avoids medical-authority language and requires professional review regardless of the model score.</w:t>
      </w:r>
    </w:p>
    <w:p>
      <w:pPr>
        <w:pStyle w:val="Heading2"/>
        <w:spacing w:before="160" w:after="120"/>
      </w:pPr>
      <w:r>
        <w:rPr>
          <w:b/>
          <w:color w:val="047857"/>
        </w:rPr>
        <w:t>11.3 Redress and monitoring</w:t>
      </w:r>
    </w:p>
    <w:p>
      <w:pPr>
        <w:spacing w:after="100" w:line="269" w:lineRule="auto"/>
      </w:pPr>
      <w:r>
        <w:t>There is no formal redress mechanism in this academic prototype. A future study would need human review, a correction route, documented overrides and suspension thresholds based on High Risk recall, subgroup recall and data drift.</w:t>
      </w:r>
    </w:p>
    <w:p>
      <w:pPr>
        <w:spacing w:after="100" w:line="269" w:lineRule="auto"/>
      </w:pPr>
      <w:r>
        <w:t>The complete 500-700 word statement is included as reports/responsible_ai_statement.pdf.</w:t>
      </w:r>
    </w:p>
    <w:p>
      <w:pPr>
        <w:pStyle w:val="Heading1"/>
        <w:spacing w:before="160" w:after="120"/>
      </w:pPr>
      <w:r>
        <w:rPr>
          <w:b/>
          <w:color w:val="065F46"/>
        </w:rPr>
        <w:t>12. Limitations, Conclusions and Next Steps</w:t>
      </w:r>
    </w:p>
    <w:p>
      <w:pPr>
        <w:pStyle w:val="Heading2"/>
        <w:spacing w:before="160" w:after="120"/>
      </w:pPr>
      <w:r>
        <w:rPr>
          <w:b/>
          <w:color w:val="047857"/>
        </w:rPr>
        <w:t>12.1 Limitations</w:t>
      </w:r>
    </w:p>
    <w:p>
      <w:pPr>
        <w:pStyle w:val="ListBullet"/>
        <w:spacing w:after="60"/>
      </w:pPr>
      <w:r>
        <w:t>Small public dataset with extensive duplication.</w:t>
      </w:r>
    </w:p>
    <w:p>
      <w:pPr>
        <w:pStyle w:val="ListBullet"/>
        <w:spacing w:after="60"/>
      </w:pPr>
      <w:r>
        <w:t>Contradictory labels for identical input signatures.</w:t>
      </w:r>
    </w:p>
    <w:p>
      <w:pPr>
        <w:pStyle w:val="ListBullet"/>
        <w:spacing w:after="60"/>
      </w:pPr>
      <w:r>
        <w:t>No pregnancy stage, clinical history, symptom context or facility metadata.</w:t>
      </w:r>
    </w:p>
    <w:p>
      <w:pPr>
        <w:pStyle w:val="ListBullet"/>
        <w:spacing w:after="60"/>
      </w:pPr>
      <w:r>
        <w:t>No Kenyan clinical validation or prospective evaluation.</w:t>
      </w:r>
    </w:p>
    <w:p>
      <w:pPr>
        <w:pStyle w:val="ListBullet"/>
        <w:spacing w:after="60"/>
      </w:pPr>
      <w:r>
        <w:t>Mid Risk recall of only 14.9%.</w:t>
      </w:r>
    </w:p>
    <w:p>
      <w:pPr>
        <w:pStyle w:val="ListBullet"/>
        <w:spacing w:after="60"/>
      </w:pPr>
      <w:r>
        <w:t>Equal Opportunity gap of 58.0% across age groups.</w:t>
      </w:r>
    </w:p>
    <w:p>
      <w:pPr>
        <w:pStyle w:val="ListBullet"/>
        <w:spacing w:after="60"/>
      </w:pPr>
      <w:r>
        <w:t>Model scores are not calibrated clinical probabilities.</w:t>
      </w:r>
    </w:p>
    <w:p>
      <w:pPr>
        <w:pStyle w:val="Heading2"/>
        <w:spacing w:before="160" w:after="120"/>
      </w:pPr>
      <w:r>
        <w:rPr>
          <w:b/>
          <w:color w:val="047857"/>
        </w:rPr>
        <w:t>12.2 Conclusions</w:t>
      </w:r>
    </w:p>
    <w:p>
      <w:pPr>
        <w:spacing w:after="100" w:line="269" w:lineRule="auto"/>
      </w:pPr>
      <w:r>
        <w:t>MamaCare meets the capstone goal of producing a complete public-facing data-science artefact. The selected ShallowMLP clearly beats the no-learning baseline and identifies most High Risk records in the test split. The project also demonstrates professional integrity by exposing poor Mid Risk performance, subgroup gaps and contradictory labels rather than hiding them.</w:t>
      </w:r>
    </w:p>
    <w:p>
      <w:pPr>
        <w:pStyle w:val="Heading2"/>
        <w:spacing w:before="160" w:after="120"/>
      </w:pPr>
      <w:r>
        <w:rPr>
          <w:b/>
          <w:color w:val="047857"/>
        </w:rPr>
        <w:t>12.3 Next Steps</w:t>
      </w:r>
    </w:p>
    <w:p>
      <w:pPr>
        <w:pStyle w:val="ListBullet"/>
        <w:spacing w:after="60"/>
      </w:pPr>
      <w:r>
        <w:t>Collect richer, clinically reviewed and locally representative maternal-health data.</w:t>
      </w:r>
    </w:p>
    <w:p>
      <w:pPr>
        <w:pStyle w:val="ListBullet"/>
        <w:spacing w:after="60"/>
      </w:pPr>
      <w:r>
        <w:t>Add pregnancy stage, symptoms, medical history and facility context where ethically justified.</w:t>
      </w:r>
    </w:p>
    <w:p>
      <w:pPr>
        <w:pStyle w:val="ListBullet"/>
        <w:spacing w:after="60"/>
      </w:pPr>
      <w:r>
        <w:t>Pre-register clinical and subgroup performance thresholds before model selection.</w:t>
      </w:r>
    </w:p>
    <w:p>
      <w:pPr>
        <w:pStyle w:val="ListBullet"/>
        <w:spacing w:after="60"/>
      </w:pPr>
      <w:r>
        <w:t>Run prospective validation with health professionals and a formal governance process.</w:t>
      </w:r>
    </w:p>
    <w:p>
      <w:pPr>
        <w:pStyle w:val="ListBullet"/>
        <w:spacing w:after="60"/>
      </w:pPr>
      <w:r>
        <w:t>Evaluate calibration and human-model interaction on new independent data.</w:t>
      </w:r>
    </w:p>
    <w:p>
      <w:pPr>
        <w:pStyle w:val="Heading1"/>
        <w:spacing w:before="160" w:after="120"/>
      </w:pPr>
      <w:r>
        <w:rPr>
          <w:b/>
          <w:color w:val="065F46"/>
        </w:rPr>
        <w:t>13. Reproducibility and Submission</w:t>
      </w:r>
    </w:p>
    <w:p>
      <w:pPr>
        <w:spacing w:after="100" w:line="269" w:lineRule="auto"/>
      </w:pPr>
      <w:r>
        <w:t>The repository separates raw data, processed data, reusable source code, the interface, tests, model artifacts, reports, slides and documentation. The training command regenerates splits, models, tables, figures and metadata from the raw CSV. The notebook reads the saved evidence and provides a complete narrative of the workflow.</w:t>
      </w:r>
    </w:p>
    <w:p>
      <w:pPr>
        <w:pStyle w:val="Heading2"/>
        <w:spacing w:before="160" w:after="120"/>
      </w:pPr>
      <w:r>
        <w:rPr>
          <w:b/>
          <w:color w:val="047857"/>
        </w:rPr>
        <w:t>13.1 Verification commands</w:t>
      </w:r>
    </w:p>
    <w:p>
      <w:pPr>
        <w:ind w:left="504"/>
      </w:pPr>
      <w:r>
        <w:rPr>
          <w:rFonts w:ascii="Consolas" w:hAnsi="Consolas"/>
          <w:color w:val="065F46"/>
          <w:sz w:val="18"/>
        </w:rPr>
        <w:t>python -m src.train</w:t>
      </w:r>
    </w:p>
    <w:p>
      <w:pPr>
        <w:ind w:left="504"/>
      </w:pPr>
      <w:r>
        <w:rPr>
          <w:rFonts w:ascii="Consolas" w:hAnsi="Consolas"/>
          <w:color w:val="065F46"/>
          <w:sz w:val="18"/>
        </w:rPr>
        <w:t>python -m pytest -q -p no:cacheprovider</w:t>
      </w:r>
    </w:p>
    <w:p>
      <w:pPr>
        <w:ind w:left="504"/>
      </w:pPr>
      <w:r>
        <w:rPr>
          <w:rFonts w:ascii="Consolas" w:hAnsi="Consolas"/>
          <w:color w:val="065F46"/>
          <w:sz w:val="18"/>
        </w:rPr>
        <w:t>python scripts/build_notebook.py</w:t>
      </w:r>
    </w:p>
    <w:p>
      <w:pPr>
        <w:ind w:left="504"/>
      </w:pPr>
      <w:r>
        <w:rPr>
          <w:rFonts w:ascii="Consolas" w:hAnsi="Consolas"/>
          <w:color w:val="065F46"/>
          <w:sz w:val="18"/>
        </w:rPr>
        <w:t>python -m nbconvert --execute --to notebook --inplace notebooks/MamaCare_End_to_End.ipynb</w:t>
      </w:r>
    </w:p>
    <w:p>
      <w:pPr>
        <w:ind w:left="504"/>
      </w:pPr>
      <w:r>
        <w:rPr>
          <w:rFonts w:ascii="Consolas" w:hAnsi="Consolas"/>
          <w:color w:val="065F46"/>
          <w:sz w:val="18"/>
        </w:rPr>
        <w:t>python -m streamlit run app/app.py</w:t>
      </w:r>
    </w:p>
    <w:p>
      <w:pPr>
        <w:ind w:left="504"/>
      </w:pPr>
      <w:r>
        <w:rPr>
          <w:rFonts w:ascii="Consolas" w:hAnsi="Consolas"/>
          <w:color w:val="065F46"/>
          <w:sz w:val="18"/>
        </w:rPr>
        <w:t>python scripts/clean_project.py</w:t>
      </w:r>
    </w:p>
    <w:p>
      <w:pPr>
        <w:ind w:left="504"/>
      </w:pPr>
      <w:r>
        <w:rPr>
          <w:rFonts w:ascii="Consolas" w:hAnsi="Consolas"/>
          <w:color w:val="065F46"/>
          <w:sz w:val="18"/>
        </w:rPr>
        <w:t>python scripts/verify_submission.py</w:t>
      </w:r>
    </w:p>
    <w:p>
      <w:pPr>
        <w:pStyle w:val="Heading2"/>
        <w:spacing w:before="160" w:after="120"/>
      </w:pPr>
      <w:r>
        <w:rPr>
          <w:b/>
          <w:color w:val="047857"/>
        </w:rPr>
        <w:t>13.2 Final package</w:t>
      </w:r>
    </w:p>
    <w:p>
      <w:pPr>
        <w:spacing w:after="100" w:line="269" w:lineRule="auto"/>
      </w:pPr>
      <w:r>
        <w:t>The final ZIP contains the updated frontend, backend, model artifact, executed notebook, report, Responsible AI statement, presentation, speaker notes, tests, requirements, licences and the detailed VS Code Codex prompt.</w:t>
      </w:r>
    </w:p>
    <w:p>
      <w:pPr>
        <w:pStyle w:val="Heading1"/>
        <w:spacing w:before="160" w:after="120"/>
      </w:pPr>
      <w:r>
        <w:rPr>
          <w:b/>
          <w:color w:val="065F46"/>
        </w:rPr>
        <w:t>References</w:t>
      </w:r>
    </w:p>
    <w:p>
      <w:pPr>
        <w:spacing w:after="100" w:line="269" w:lineRule="auto"/>
      </w:pPr>
      <w:r>
        <w:t>Ahmed, M. (2020). Maternal Health Risk [Dataset]. UCI Machine Learning Repository. https://doi.org/10.24432/C5DP5D</w:t>
      </w:r>
    </w:p>
    <w:p>
      <w:pPr>
        <w:spacing w:after="100" w:line="269" w:lineRule="auto"/>
      </w:pPr>
      <w:r>
        <w:t>NGAO Labs. (2026). Capstone project instructions and track-selection guidance.</w:t>
      </w:r>
    </w:p>
    <w:p>
      <w:pPr>
        <w:spacing w:after="100" w:line="269" w:lineRule="auto"/>
      </w:pPr>
      <w:r>
        <w:t>MamaCare Maternal Health Risk Prediction System project proposal, July 2026.</w:t>
      </w:r>
    </w:p>
    <w:p>
      <w:pPr>
        <w:spacing w:after="100" w:line="269" w:lineRule="auto"/>
      </w:pPr>
      <w:r>
        <w:t>Scikit-learn documentation for model selection, preprocessing, metrics and neural-network classifiers.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Collins Mikaye  |  </w:t>
    </w:r>
    <w:r>
      <w:rPr>
        <w:color w:val="4755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75569"/>
        <w:sz w:val="17"/>
      </w:rPr>
      <w:t>MamaCare | Maternal Health Risk Classification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