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9F0" w14:textId="77777777" w:rsidR="00F60E99" w:rsidRPr="00B074DD" w:rsidRDefault="00000000">
      <w:pPr>
        <w:pStyle w:val="Title"/>
        <w:rPr>
          <w:rFonts w:ascii="Cambria" w:hAnsi="Cambria"/>
          <w:b/>
          <w:bCs/>
          <w:color w:val="000000" w:themeColor="text1"/>
          <w:sz w:val="24"/>
          <w:szCs w:val="24"/>
        </w:rPr>
      </w:pPr>
      <w:r w:rsidRPr="00B074DD">
        <w:rPr>
          <w:rFonts w:ascii="Cambria" w:hAnsi="Cambria"/>
          <w:b/>
          <w:bCs/>
          <w:color w:val="000000" w:themeColor="text1"/>
          <w:sz w:val="24"/>
          <w:szCs w:val="24"/>
        </w:rPr>
        <w:t>ASELSAN Hisse Getirileri Üzerine Ekonometrik Modelleme Çerçevesi</w:t>
      </w:r>
      <w:r w:rsidRPr="00B074DD">
        <w:rPr>
          <w:rFonts w:ascii="Cambria" w:hAnsi="Cambria"/>
          <w:b/>
          <w:bCs/>
          <w:color w:val="000000" w:themeColor="text1"/>
          <w:sz w:val="24"/>
          <w:szCs w:val="24"/>
        </w:rPr>
        <w:br/>
        <w:t>(Bilkent Seviyesi Akademik Proje Taslağı)</w:t>
      </w:r>
    </w:p>
    <w:p w14:paraId="2EDCF53E"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1. Giriş ve Motivasyon</w:t>
      </w:r>
    </w:p>
    <w:p w14:paraId="6DB9292E"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Bu çalışmanın amacı, ASELSAN hisse senedi getirilerinin hangi makro-finansal değişkenlerden, hangi kanallar aracılığıyla ve ne ölçüde etkilendiğini ekonometrik yöntemlerle analiz etmektir. Çalışma, hem öngörü gücü hem de nedensellik ilişkileri açısından kapsamlı bir inceleme sunmayı hedeflemektedir. Bu bağlamda, küresel risk iştahı, faiz oranları, döviz kuru, piyasa faktörleri ve alternatif varlıklar gibi değişkenlerin ASELSAN getirileri üzerindeki etkileri test edilecektir.</w:t>
      </w:r>
      <w:r w:rsidRPr="00B074DD">
        <w:rPr>
          <w:rFonts w:ascii="Cambria" w:hAnsi="Cambria"/>
          <w:color w:val="000000" w:themeColor="text1"/>
          <w:sz w:val="24"/>
          <w:szCs w:val="24"/>
        </w:rPr>
        <w:br/>
      </w:r>
    </w:p>
    <w:p w14:paraId="736DCBDC"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2. Bağımlı Değişkenin Tanımı</w:t>
      </w:r>
    </w:p>
    <w:p w14:paraId="5632A464"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Çalışmada bağımlı değişken olarak ASELSAN hisse senedinin logaritmik getirisi kullanılacaktır:</w:t>
      </w:r>
      <w:r w:rsidRPr="00B074DD">
        <w:rPr>
          <w:rFonts w:ascii="Cambria" w:hAnsi="Cambria"/>
          <w:color w:val="000000" w:themeColor="text1"/>
          <w:sz w:val="24"/>
          <w:szCs w:val="24"/>
        </w:rPr>
        <w:br/>
      </w:r>
      <w:r w:rsidRPr="00B074DD">
        <w:rPr>
          <w:rFonts w:ascii="Cambria" w:hAnsi="Cambria"/>
          <w:color w:val="000000" w:themeColor="text1"/>
          <w:sz w:val="24"/>
          <w:szCs w:val="24"/>
        </w:rPr>
        <w:br/>
        <w:t>r_t^{ASELS} = 100 * (ln(P_t) - ln(P_{t-1}))</w:t>
      </w:r>
      <w:r w:rsidRPr="00B074DD">
        <w:rPr>
          <w:rFonts w:ascii="Cambria" w:hAnsi="Cambria"/>
          <w:color w:val="000000" w:themeColor="text1"/>
          <w:sz w:val="24"/>
          <w:szCs w:val="24"/>
        </w:rPr>
        <w:br/>
      </w:r>
      <w:r w:rsidRPr="00B074DD">
        <w:rPr>
          <w:rFonts w:ascii="Cambria" w:hAnsi="Cambria"/>
          <w:color w:val="000000" w:themeColor="text1"/>
          <w:sz w:val="24"/>
          <w:szCs w:val="24"/>
        </w:rPr>
        <w:br/>
        <w:t>Getiri serilerinin genellikle durağan olması ve ekonometrik olarak daha sağlıklı sonuçlar üretmesi nedeniyle fiyat seviyesi yerine getiri tercih edilmiştir. Alternatif olarak robustness analizlerinde piyasa-nötr getiri (ASELS getirisi - BIST100 getirisi) de kullanılacaktır.</w:t>
      </w:r>
      <w:r w:rsidRPr="00B074DD">
        <w:rPr>
          <w:rFonts w:ascii="Cambria" w:hAnsi="Cambria"/>
          <w:color w:val="000000" w:themeColor="text1"/>
          <w:sz w:val="24"/>
          <w:szCs w:val="24"/>
        </w:rPr>
        <w:br/>
      </w:r>
    </w:p>
    <w:p w14:paraId="6FD978B3"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3. Bağımsız Değişkenler</w:t>
      </w:r>
    </w:p>
    <w:p w14:paraId="04F86C35"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Ana değişken seti:</w:t>
      </w:r>
      <w:r w:rsidRPr="00B074DD">
        <w:rPr>
          <w:rFonts w:ascii="Cambria" w:hAnsi="Cambria"/>
          <w:color w:val="000000" w:themeColor="text1"/>
          <w:sz w:val="24"/>
          <w:szCs w:val="24"/>
        </w:rPr>
        <w:br/>
        <w:t>- VIX (küresel risk iştahı göstergesi)</w:t>
      </w:r>
      <w:r w:rsidRPr="00B074DD">
        <w:rPr>
          <w:rFonts w:ascii="Cambria" w:hAnsi="Cambria"/>
          <w:color w:val="000000" w:themeColor="text1"/>
          <w:sz w:val="24"/>
          <w:szCs w:val="24"/>
        </w:rPr>
        <w:br/>
        <w:t>- DXY (ABD doları küresel güç endeksi)</w:t>
      </w:r>
      <w:r w:rsidRPr="00B074DD">
        <w:rPr>
          <w:rFonts w:ascii="Cambria" w:hAnsi="Cambria"/>
          <w:color w:val="000000" w:themeColor="text1"/>
          <w:sz w:val="24"/>
          <w:szCs w:val="24"/>
        </w:rPr>
        <w:br/>
        <w:t>- BTC getirisi (alternatif riskli varlık göstergesi)</w:t>
      </w:r>
      <w:r w:rsidRPr="00B074DD">
        <w:rPr>
          <w:rFonts w:ascii="Cambria" w:hAnsi="Cambria"/>
          <w:color w:val="000000" w:themeColor="text1"/>
          <w:sz w:val="24"/>
          <w:szCs w:val="24"/>
        </w:rPr>
        <w:br/>
        <w:t>- ABD devlet tahvili faizi (2Y ve/veya 10Y)</w:t>
      </w:r>
      <w:r w:rsidRPr="00B074DD">
        <w:rPr>
          <w:rFonts w:ascii="Cambria" w:hAnsi="Cambria"/>
          <w:color w:val="000000" w:themeColor="text1"/>
          <w:sz w:val="24"/>
          <w:szCs w:val="24"/>
        </w:rPr>
        <w:br/>
        <w:t>- Türkiye devlet tahvili faizi (2Y ve/veya 10Y)</w:t>
      </w:r>
      <w:r w:rsidRPr="00B074DD">
        <w:rPr>
          <w:rFonts w:ascii="Cambria" w:hAnsi="Cambria"/>
          <w:color w:val="000000" w:themeColor="text1"/>
          <w:sz w:val="24"/>
          <w:szCs w:val="24"/>
        </w:rPr>
        <w:br/>
        <w:t>- TCMB politika faizi</w:t>
      </w:r>
      <w:r w:rsidRPr="00B074DD">
        <w:rPr>
          <w:rFonts w:ascii="Cambria" w:hAnsi="Cambria"/>
          <w:color w:val="000000" w:themeColor="text1"/>
          <w:sz w:val="24"/>
          <w:szCs w:val="24"/>
        </w:rPr>
        <w:br/>
        <w:t>- USD/TRY kuru getirisi</w:t>
      </w:r>
      <w:r w:rsidRPr="00B074DD">
        <w:rPr>
          <w:rFonts w:ascii="Cambria" w:hAnsi="Cambria"/>
          <w:color w:val="000000" w:themeColor="text1"/>
          <w:sz w:val="24"/>
          <w:szCs w:val="24"/>
        </w:rPr>
        <w:br/>
        <w:t>- BIST100 endeks getirisi</w:t>
      </w:r>
      <w:r w:rsidRPr="00B074DD">
        <w:rPr>
          <w:rFonts w:ascii="Cambria" w:hAnsi="Cambria"/>
          <w:color w:val="000000" w:themeColor="text1"/>
          <w:sz w:val="24"/>
          <w:szCs w:val="24"/>
        </w:rPr>
        <w:br/>
        <w:t>- Türkiye 5Y CDS primi</w:t>
      </w:r>
      <w:r w:rsidRPr="00B074DD">
        <w:rPr>
          <w:rFonts w:ascii="Cambria" w:hAnsi="Cambria"/>
          <w:color w:val="000000" w:themeColor="text1"/>
          <w:sz w:val="24"/>
          <w:szCs w:val="24"/>
        </w:rPr>
        <w:br/>
        <w:t>- Brent petrol fiyatı (opsiyonel)</w:t>
      </w:r>
      <w:r w:rsidRPr="00B074DD">
        <w:rPr>
          <w:rFonts w:ascii="Cambria" w:hAnsi="Cambria"/>
          <w:color w:val="000000" w:themeColor="text1"/>
          <w:sz w:val="24"/>
          <w:szCs w:val="24"/>
        </w:rPr>
        <w:br/>
      </w:r>
      <w:r w:rsidRPr="00B074DD">
        <w:rPr>
          <w:rFonts w:ascii="Cambria" w:hAnsi="Cambria"/>
          <w:color w:val="000000" w:themeColor="text1"/>
          <w:sz w:val="24"/>
          <w:szCs w:val="24"/>
        </w:rPr>
        <w:br/>
        <w:t>Günlük analizlerde faiz oranları ve CDS gibi değişkenler genellikle fark (Δ) veya getiri formunda modele dahil edilecektir.</w:t>
      </w:r>
      <w:r w:rsidRPr="00B074DD">
        <w:rPr>
          <w:rFonts w:ascii="Cambria" w:hAnsi="Cambria"/>
          <w:color w:val="000000" w:themeColor="text1"/>
          <w:sz w:val="24"/>
          <w:szCs w:val="24"/>
        </w:rPr>
        <w:br/>
      </w:r>
    </w:p>
    <w:p w14:paraId="495BE66D"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lastRenderedPageBreak/>
        <w:t>4. Hipotezler</w:t>
      </w:r>
    </w:p>
    <w:p w14:paraId="65A3ADC6"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H1: VIX artışı ASELS getirilerini negatif etkiler.</w:t>
      </w:r>
      <w:r w:rsidRPr="00B074DD">
        <w:rPr>
          <w:rFonts w:ascii="Cambria" w:hAnsi="Cambria"/>
          <w:color w:val="000000" w:themeColor="text1"/>
          <w:sz w:val="24"/>
          <w:szCs w:val="24"/>
        </w:rPr>
        <w:br/>
        <w:t>H2: DXY artışı ASELS getirilerini negatif etkiler.</w:t>
      </w:r>
      <w:r w:rsidRPr="00B074DD">
        <w:rPr>
          <w:rFonts w:ascii="Cambria" w:hAnsi="Cambria"/>
          <w:color w:val="000000" w:themeColor="text1"/>
          <w:sz w:val="24"/>
          <w:szCs w:val="24"/>
        </w:rPr>
        <w:br/>
        <w:t>H3: ABD tahvil faizlerindeki artış ASELS getirilerini negatif etkiler.</w:t>
      </w:r>
      <w:r w:rsidRPr="00B074DD">
        <w:rPr>
          <w:rFonts w:ascii="Cambria" w:hAnsi="Cambria"/>
          <w:color w:val="000000" w:themeColor="text1"/>
          <w:sz w:val="24"/>
          <w:szCs w:val="24"/>
        </w:rPr>
        <w:br/>
        <w:t>H4: Türkiye tahvil faizi ve/veya TCMB politika faizi artışı ASELS getirilerini negatif etkiler.</w:t>
      </w:r>
      <w:r w:rsidRPr="00B074DD">
        <w:rPr>
          <w:rFonts w:ascii="Cambria" w:hAnsi="Cambria"/>
          <w:color w:val="000000" w:themeColor="text1"/>
          <w:sz w:val="24"/>
          <w:szCs w:val="24"/>
        </w:rPr>
        <w:br/>
        <w:t>H5: USD/TRY kurundaki değişimler ASELS getirilerini anlamlı şekilde etkiler (işaret ampirik olarak belirlenecektir).</w:t>
      </w:r>
      <w:r w:rsidRPr="00B074DD">
        <w:rPr>
          <w:rFonts w:ascii="Cambria" w:hAnsi="Cambria"/>
          <w:color w:val="000000" w:themeColor="text1"/>
          <w:sz w:val="24"/>
          <w:szCs w:val="24"/>
        </w:rPr>
        <w:br/>
      </w:r>
    </w:p>
    <w:p w14:paraId="534E7E63"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5. Ekonometrik Modelleme Stratejisi</w:t>
      </w:r>
    </w:p>
    <w:p w14:paraId="055386AB"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5.1. Ana Model (ARX / Dinamik OLS):</w:t>
      </w:r>
      <w:r w:rsidRPr="00B074DD">
        <w:rPr>
          <w:rFonts w:ascii="Cambria" w:hAnsi="Cambria"/>
          <w:color w:val="000000" w:themeColor="text1"/>
          <w:sz w:val="24"/>
          <w:szCs w:val="24"/>
        </w:rPr>
        <w:br/>
        <w:t>r_t = α + Σ φ_i r_{t-i} + Σ Σ β_{</w:t>
      </w:r>
      <w:proofErr w:type="gramStart"/>
      <w:r w:rsidRPr="00B074DD">
        <w:rPr>
          <w:rFonts w:ascii="Cambria" w:hAnsi="Cambria"/>
          <w:color w:val="000000" w:themeColor="text1"/>
          <w:sz w:val="24"/>
          <w:szCs w:val="24"/>
        </w:rPr>
        <w:t>k,j</w:t>
      </w:r>
      <w:proofErr w:type="gramEnd"/>
      <w:r w:rsidRPr="00B074DD">
        <w:rPr>
          <w:rFonts w:ascii="Cambria" w:hAnsi="Cambria"/>
          <w:color w:val="000000" w:themeColor="text1"/>
          <w:sz w:val="24"/>
          <w:szCs w:val="24"/>
        </w:rPr>
        <w:t>} x_{</w:t>
      </w:r>
      <w:proofErr w:type="gramStart"/>
      <w:r w:rsidRPr="00B074DD">
        <w:rPr>
          <w:rFonts w:ascii="Cambria" w:hAnsi="Cambria"/>
          <w:color w:val="000000" w:themeColor="text1"/>
          <w:sz w:val="24"/>
          <w:szCs w:val="24"/>
        </w:rPr>
        <w:t>k,t</w:t>
      </w:r>
      <w:proofErr w:type="gramEnd"/>
      <w:r w:rsidRPr="00B074DD">
        <w:rPr>
          <w:rFonts w:ascii="Cambria" w:hAnsi="Cambria"/>
          <w:color w:val="000000" w:themeColor="text1"/>
          <w:sz w:val="24"/>
          <w:szCs w:val="24"/>
        </w:rPr>
        <w:t>-j} + ε_t</w:t>
      </w:r>
      <w:r w:rsidRPr="00B074DD">
        <w:rPr>
          <w:rFonts w:ascii="Cambria" w:hAnsi="Cambria"/>
          <w:color w:val="000000" w:themeColor="text1"/>
          <w:sz w:val="24"/>
          <w:szCs w:val="24"/>
        </w:rPr>
        <w:br/>
      </w:r>
      <w:r w:rsidRPr="00B074DD">
        <w:rPr>
          <w:rFonts w:ascii="Cambria" w:hAnsi="Cambria"/>
          <w:color w:val="000000" w:themeColor="text1"/>
          <w:sz w:val="24"/>
          <w:szCs w:val="24"/>
        </w:rPr>
        <w:br/>
        <w:t>Tahminler Newey-West HAC standart hataları ile yapılacaktır.</w:t>
      </w:r>
      <w:r w:rsidRPr="00B074DD">
        <w:rPr>
          <w:rFonts w:ascii="Cambria" w:hAnsi="Cambria"/>
          <w:color w:val="000000" w:themeColor="text1"/>
          <w:sz w:val="24"/>
          <w:szCs w:val="24"/>
        </w:rPr>
        <w:br/>
      </w:r>
      <w:r w:rsidRPr="00B074DD">
        <w:rPr>
          <w:rFonts w:ascii="Cambria" w:hAnsi="Cambria"/>
          <w:color w:val="000000" w:themeColor="text1"/>
          <w:sz w:val="24"/>
          <w:szCs w:val="24"/>
        </w:rPr>
        <w:br/>
        <w:t>5.2. VAR Modeli ve Granger Nedensellik:</w:t>
      </w:r>
      <w:r w:rsidRPr="00B074DD">
        <w:rPr>
          <w:rFonts w:ascii="Cambria" w:hAnsi="Cambria"/>
          <w:color w:val="000000" w:themeColor="text1"/>
          <w:sz w:val="24"/>
          <w:szCs w:val="24"/>
        </w:rPr>
        <w:br/>
        <w:t>ASELS getirileri ile seçilmiş makro-finansal değişkenler arasında öngörü ilişkileri VAR modeli ve Granger nedensellik testleri ile analiz edilecektir.</w:t>
      </w:r>
      <w:r w:rsidRPr="00B074DD">
        <w:rPr>
          <w:rFonts w:ascii="Cambria" w:hAnsi="Cambria"/>
          <w:color w:val="000000" w:themeColor="text1"/>
          <w:sz w:val="24"/>
          <w:szCs w:val="24"/>
        </w:rPr>
        <w:br/>
      </w:r>
      <w:r w:rsidRPr="00B074DD">
        <w:rPr>
          <w:rFonts w:ascii="Cambria" w:hAnsi="Cambria"/>
          <w:color w:val="000000" w:themeColor="text1"/>
          <w:sz w:val="24"/>
          <w:szCs w:val="24"/>
        </w:rPr>
        <w:br/>
        <w:t>5.3. GARCH-X Modeli:</w:t>
      </w:r>
      <w:r w:rsidRPr="00B074DD">
        <w:rPr>
          <w:rFonts w:ascii="Cambria" w:hAnsi="Cambria"/>
          <w:color w:val="000000" w:themeColor="text1"/>
          <w:sz w:val="24"/>
          <w:szCs w:val="24"/>
        </w:rPr>
        <w:br/>
        <w:t xml:space="preserve">Getiri oynaklığının modellenmesi için </w:t>
      </w:r>
      <w:proofErr w:type="gramStart"/>
      <w:r w:rsidRPr="00B074DD">
        <w:rPr>
          <w:rFonts w:ascii="Cambria" w:hAnsi="Cambria"/>
          <w:color w:val="000000" w:themeColor="text1"/>
          <w:sz w:val="24"/>
          <w:szCs w:val="24"/>
        </w:rPr>
        <w:t>GARCH(</w:t>
      </w:r>
      <w:proofErr w:type="gramEnd"/>
      <w:r w:rsidRPr="00B074DD">
        <w:rPr>
          <w:rFonts w:ascii="Cambria" w:hAnsi="Cambria"/>
          <w:color w:val="000000" w:themeColor="text1"/>
          <w:sz w:val="24"/>
          <w:szCs w:val="24"/>
        </w:rPr>
        <w:t>1,1) ve varyans denklemine dışsal değişkenlerin (örn. VIX) dahil edildiği GARCH-X modeli kurulacaktır.</w:t>
      </w:r>
      <w:r w:rsidRPr="00B074DD">
        <w:rPr>
          <w:rFonts w:ascii="Cambria" w:hAnsi="Cambria"/>
          <w:color w:val="000000" w:themeColor="text1"/>
          <w:sz w:val="24"/>
          <w:szCs w:val="24"/>
        </w:rPr>
        <w:br/>
      </w:r>
    </w:p>
    <w:p w14:paraId="7061F468"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6. Tanımlayıcı İstatistikler ve Ön Testler</w:t>
      </w:r>
    </w:p>
    <w:p w14:paraId="78EA3303"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 Ortalama, standart sapma, çarpıklık, basıklık</w:t>
      </w:r>
      <w:r w:rsidRPr="00B074DD">
        <w:rPr>
          <w:rFonts w:ascii="Cambria" w:hAnsi="Cambria"/>
          <w:color w:val="000000" w:themeColor="text1"/>
          <w:sz w:val="24"/>
          <w:szCs w:val="24"/>
        </w:rPr>
        <w:br/>
        <w:t>- Jarque-Bera normallik testi</w:t>
      </w:r>
      <w:r w:rsidRPr="00B074DD">
        <w:rPr>
          <w:rFonts w:ascii="Cambria" w:hAnsi="Cambria"/>
          <w:color w:val="000000" w:themeColor="text1"/>
          <w:sz w:val="24"/>
          <w:szCs w:val="24"/>
        </w:rPr>
        <w:br/>
        <w:t>- ADF ve KPSS durağanlık testleri</w:t>
      </w:r>
      <w:r w:rsidRPr="00B074DD">
        <w:rPr>
          <w:rFonts w:ascii="Cambria" w:hAnsi="Cambria"/>
          <w:color w:val="000000" w:themeColor="text1"/>
          <w:sz w:val="24"/>
          <w:szCs w:val="24"/>
        </w:rPr>
        <w:br/>
        <w:t>- ACF ve PACF grafik analizleri</w:t>
      </w:r>
      <w:r w:rsidRPr="00B074DD">
        <w:rPr>
          <w:rFonts w:ascii="Cambria" w:hAnsi="Cambria"/>
          <w:color w:val="000000" w:themeColor="text1"/>
          <w:sz w:val="24"/>
          <w:szCs w:val="24"/>
        </w:rPr>
        <w:br/>
        <w:t>- Korelasyon matrisi ve VIF analizi</w:t>
      </w:r>
      <w:r w:rsidRPr="00B074DD">
        <w:rPr>
          <w:rFonts w:ascii="Cambria" w:hAnsi="Cambria"/>
          <w:color w:val="000000" w:themeColor="text1"/>
          <w:sz w:val="24"/>
          <w:szCs w:val="24"/>
        </w:rPr>
        <w:br/>
      </w:r>
    </w:p>
    <w:p w14:paraId="4BB3F63F"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7. Model Spesifikasyon Testleri</w:t>
      </w:r>
    </w:p>
    <w:p w14:paraId="51FAA7FA"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 Otokorelasyon: Breusch-Godfrey</w:t>
      </w:r>
      <w:r w:rsidRPr="00B074DD">
        <w:rPr>
          <w:rFonts w:ascii="Cambria" w:hAnsi="Cambria"/>
          <w:color w:val="000000" w:themeColor="text1"/>
          <w:sz w:val="24"/>
          <w:szCs w:val="24"/>
        </w:rPr>
        <w:br/>
        <w:t>- Değişen varyans: White / Breusch-Pagan</w:t>
      </w:r>
      <w:r w:rsidRPr="00B074DD">
        <w:rPr>
          <w:rFonts w:ascii="Cambria" w:hAnsi="Cambria"/>
          <w:color w:val="000000" w:themeColor="text1"/>
          <w:sz w:val="24"/>
          <w:szCs w:val="24"/>
        </w:rPr>
        <w:br/>
        <w:t>- Fonksiyonel form: Ramsey RESET</w:t>
      </w:r>
      <w:r w:rsidRPr="00B074DD">
        <w:rPr>
          <w:rFonts w:ascii="Cambria" w:hAnsi="Cambria"/>
          <w:color w:val="000000" w:themeColor="text1"/>
          <w:sz w:val="24"/>
          <w:szCs w:val="24"/>
        </w:rPr>
        <w:br/>
        <w:t>- Parametre kararlılığı: CUSUM ve rolling regression</w:t>
      </w:r>
      <w:r w:rsidRPr="00B074DD">
        <w:rPr>
          <w:rFonts w:ascii="Cambria" w:hAnsi="Cambria"/>
          <w:color w:val="000000" w:themeColor="text1"/>
          <w:sz w:val="24"/>
          <w:szCs w:val="24"/>
        </w:rPr>
        <w:br/>
      </w:r>
    </w:p>
    <w:p w14:paraId="180AFA8A"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lastRenderedPageBreak/>
        <w:t>8. Robustness Kontrolleri</w:t>
      </w:r>
    </w:p>
    <w:p w14:paraId="783A3601"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 Günlük vs haftalık frekans</w:t>
      </w:r>
      <w:r w:rsidRPr="00B074DD">
        <w:rPr>
          <w:rFonts w:ascii="Cambria" w:hAnsi="Cambria"/>
          <w:color w:val="000000" w:themeColor="text1"/>
          <w:sz w:val="24"/>
          <w:szCs w:val="24"/>
        </w:rPr>
        <w:br/>
        <w:t>- Alternatif faiz ölçümleri (2Y, 10Y, term spread)</w:t>
      </w:r>
      <w:r w:rsidRPr="00B074DD">
        <w:rPr>
          <w:rFonts w:ascii="Cambria" w:hAnsi="Cambria"/>
          <w:color w:val="000000" w:themeColor="text1"/>
          <w:sz w:val="24"/>
          <w:szCs w:val="24"/>
        </w:rPr>
        <w:br/>
        <w:t>- Alt örneklemler (yüksek VIX vs düşük VIX dönemleri)</w:t>
      </w:r>
      <w:r w:rsidRPr="00B074DD">
        <w:rPr>
          <w:rFonts w:ascii="Cambria" w:hAnsi="Cambria"/>
          <w:color w:val="000000" w:themeColor="text1"/>
          <w:sz w:val="24"/>
          <w:szCs w:val="24"/>
        </w:rPr>
        <w:br/>
        <w:t>- Alternatif bağımlı değişken (piyasa-nötr getiri)</w:t>
      </w:r>
      <w:r w:rsidRPr="00B074DD">
        <w:rPr>
          <w:rFonts w:ascii="Cambria" w:hAnsi="Cambria"/>
          <w:color w:val="000000" w:themeColor="text1"/>
          <w:sz w:val="24"/>
          <w:szCs w:val="24"/>
        </w:rPr>
        <w:br/>
        <w:t>- Out-of-sample tahmin performansı (rolling window)</w:t>
      </w:r>
      <w:r w:rsidRPr="00B074DD">
        <w:rPr>
          <w:rFonts w:ascii="Cambria" w:hAnsi="Cambria"/>
          <w:color w:val="000000" w:themeColor="text1"/>
          <w:sz w:val="24"/>
          <w:szCs w:val="24"/>
        </w:rPr>
        <w:br/>
        <w:t>- LASSO / Elastic Net ile değişken seçimi (opsiyonel)</w:t>
      </w:r>
      <w:r w:rsidRPr="00B074DD">
        <w:rPr>
          <w:rFonts w:ascii="Cambria" w:hAnsi="Cambria"/>
          <w:color w:val="000000" w:themeColor="text1"/>
          <w:sz w:val="24"/>
          <w:szCs w:val="24"/>
        </w:rPr>
        <w:br/>
      </w:r>
    </w:p>
    <w:p w14:paraId="6C36B534"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9. Teorik ve Matematiksel Ekler</w:t>
      </w:r>
    </w:p>
    <w:p w14:paraId="09D27ADD"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 OLS tahmincisinin yanlısızlık ve tutarlılık özellikleri</w:t>
      </w:r>
      <w:r w:rsidRPr="00B074DD">
        <w:rPr>
          <w:rFonts w:ascii="Cambria" w:hAnsi="Cambria"/>
          <w:color w:val="000000" w:themeColor="text1"/>
          <w:sz w:val="24"/>
          <w:szCs w:val="24"/>
        </w:rPr>
        <w:br/>
        <w:t>- Newey-West HAC tahmincisinin tutarlılığı</w:t>
      </w:r>
      <w:r w:rsidRPr="00B074DD">
        <w:rPr>
          <w:rFonts w:ascii="Cambria" w:hAnsi="Cambria"/>
          <w:color w:val="000000" w:themeColor="text1"/>
          <w:sz w:val="24"/>
          <w:szCs w:val="24"/>
        </w:rPr>
        <w:br/>
        <w:t xml:space="preserve">- </w:t>
      </w:r>
      <w:proofErr w:type="gramStart"/>
      <w:r w:rsidRPr="00B074DD">
        <w:rPr>
          <w:rFonts w:ascii="Cambria" w:hAnsi="Cambria"/>
          <w:color w:val="000000" w:themeColor="text1"/>
          <w:sz w:val="24"/>
          <w:szCs w:val="24"/>
        </w:rPr>
        <w:t>GARCH(</w:t>
      </w:r>
      <w:proofErr w:type="gramEnd"/>
      <w:r w:rsidRPr="00B074DD">
        <w:rPr>
          <w:rFonts w:ascii="Cambria" w:hAnsi="Cambria"/>
          <w:color w:val="000000" w:themeColor="text1"/>
          <w:sz w:val="24"/>
          <w:szCs w:val="24"/>
        </w:rPr>
        <w:t>1,1) modeli için durağanlık koşulu: α + β &lt; 1</w:t>
      </w:r>
      <w:r w:rsidRPr="00B074DD">
        <w:rPr>
          <w:rFonts w:ascii="Cambria" w:hAnsi="Cambria"/>
          <w:color w:val="000000" w:themeColor="text1"/>
          <w:sz w:val="24"/>
          <w:szCs w:val="24"/>
        </w:rPr>
        <w:br/>
        <w:t>- Granger nedensellik testinin F-istatistiği türevi</w:t>
      </w:r>
      <w:r w:rsidRPr="00B074DD">
        <w:rPr>
          <w:rFonts w:ascii="Cambria" w:hAnsi="Cambria"/>
          <w:color w:val="000000" w:themeColor="text1"/>
          <w:sz w:val="24"/>
          <w:szCs w:val="24"/>
        </w:rPr>
        <w:br/>
      </w:r>
    </w:p>
    <w:p w14:paraId="6AC02435"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10. Uygulama Planı (Jupyter Notebook)</w:t>
      </w:r>
    </w:p>
    <w:p w14:paraId="683A00BC"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1. Veri setlerinin içe aktarılması ve senkronizasyonu</w:t>
      </w:r>
      <w:r w:rsidRPr="00B074DD">
        <w:rPr>
          <w:rFonts w:ascii="Cambria" w:hAnsi="Cambria"/>
          <w:color w:val="000000" w:themeColor="text1"/>
          <w:sz w:val="24"/>
          <w:szCs w:val="24"/>
        </w:rPr>
        <w:br/>
        <w:t>2. Dönüşümler (log getiri, farklar, standartlaştırma)</w:t>
      </w:r>
      <w:r w:rsidRPr="00B074DD">
        <w:rPr>
          <w:rFonts w:ascii="Cambria" w:hAnsi="Cambria"/>
          <w:color w:val="000000" w:themeColor="text1"/>
          <w:sz w:val="24"/>
          <w:szCs w:val="24"/>
        </w:rPr>
        <w:br/>
        <w:t>3. Tanımlayıcı istatistikler ve grafikler</w:t>
      </w:r>
      <w:r w:rsidRPr="00B074DD">
        <w:rPr>
          <w:rFonts w:ascii="Cambria" w:hAnsi="Cambria"/>
          <w:color w:val="000000" w:themeColor="text1"/>
          <w:sz w:val="24"/>
          <w:szCs w:val="24"/>
        </w:rPr>
        <w:br/>
        <w:t>4. Durağanlık testleri</w:t>
      </w:r>
      <w:r w:rsidRPr="00B074DD">
        <w:rPr>
          <w:rFonts w:ascii="Cambria" w:hAnsi="Cambria"/>
          <w:color w:val="000000" w:themeColor="text1"/>
          <w:sz w:val="24"/>
          <w:szCs w:val="24"/>
        </w:rPr>
        <w:br/>
        <w:t>5. Ana ARX model tahmini</w:t>
      </w:r>
      <w:r w:rsidRPr="00B074DD">
        <w:rPr>
          <w:rFonts w:ascii="Cambria" w:hAnsi="Cambria"/>
          <w:color w:val="000000" w:themeColor="text1"/>
          <w:sz w:val="24"/>
          <w:szCs w:val="24"/>
        </w:rPr>
        <w:br/>
        <w:t>6. VAR ve Granger nedensellik analizleri</w:t>
      </w:r>
      <w:r w:rsidRPr="00B074DD">
        <w:rPr>
          <w:rFonts w:ascii="Cambria" w:hAnsi="Cambria"/>
          <w:color w:val="000000" w:themeColor="text1"/>
          <w:sz w:val="24"/>
          <w:szCs w:val="24"/>
        </w:rPr>
        <w:br/>
        <w:t>7. GARCH-X modeli</w:t>
      </w:r>
      <w:r w:rsidRPr="00B074DD">
        <w:rPr>
          <w:rFonts w:ascii="Cambria" w:hAnsi="Cambria"/>
          <w:color w:val="000000" w:themeColor="text1"/>
          <w:sz w:val="24"/>
          <w:szCs w:val="24"/>
        </w:rPr>
        <w:br/>
        <w:t>8. Robustness kontrolleri</w:t>
      </w:r>
      <w:r w:rsidRPr="00B074DD">
        <w:rPr>
          <w:rFonts w:ascii="Cambria" w:hAnsi="Cambria"/>
          <w:color w:val="000000" w:themeColor="text1"/>
          <w:sz w:val="24"/>
          <w:szCs w:val="24"/>
        </w:rPr>
        <w:br/>
        <w:t>9. Sonuçların tablo ve grafiklerle raporlanması</w:t>
      </w:r>
      <w:r w:rsidRPr="00B074DD">
        <w:rPr>
          <w:rFonts w:ascii="Cambria" w:hAnsi="Cambria"/>
          <w:color w:val="000000" w:themeColor="text1"/>
          <w:sz w:val="24"/>
          <w:szCs w:val="24"/>
        </w:rPr>
        <w:br/>
      </w:r>
    </w:p>
    <w:p w14:paraId="143B1354" w14:textId="77777777" w:rsidR="00F60E99" w:rsidRPr="00B074DD" w:rsidRDefault="00000000">
      <w:pPr>
        <w:pStyle w:val="Heading1"/>
        <w:rPr>
          <w:rFonts w:ascii="Cambria" w:hAnsi="Cambria"/>
          <w:color w:val="000000" w:themeColor="text1"/>
          <w:sz w:val="24"/>
          <w:szCs w:val="24"/>
        </w:rPr>
      </w:pPr>
      <w:r w:rsidRPr="00B074DD">
        <w:rPr>
          <w:rFonts w:ascii="Cambria" w:hAnsi="Cambria"/>
          <w:color w:val="000000" w:themeColor="text1"/>
          <w:sz w:val="24"/>
          <w:szCs w:val="24"/>
        </w:rPr>
        <w:t>11. Beklenen Akademik Katkı</w:t>
      </w:r>
    </w:p>
    <w:p w14:paraId="396127A0" w14:textId="77777777" w:rsidR="00F60E99" w:rsidRPr="00B074DD" w:rsidRDefault="00000000">
      <w:pPr>
        <w:rPr>
          <w:rFonts w:ascii="Cambria" w:hAnsi="Cambria"/>
          <w:color w:val="000000" w:themeColor="text1"/>
          <w:sz w:val="24"/>
          <w:szCs w:val="24"/>
        </w:rPr>
      </w:pPr>
      <w:r w:rsidRPr="00B074DD">
        <w:rPr>
          <w:rFonts w:ascii="Cambria" w:hAnsi="Cambria"/>
          <w:color w:val="000000" w:themeColor="text1"/>
          <w:sz w:val="24"/>
          <w:szCs w:val="24"/>
        </w:rPr>
        <w:br/>
        <w:t>Bu çalışma, ASELSAN hisse getirilerinin hem küresel hem de yerel makro-finansal faktörlere duyarlılığını sistematik bir biçimde ortaya koyarak, literatüre firma-özel ve gelişmekte olan piyasa odaklı ampirik bir katkı sunmayı amaçlamaktadır.</w:t>
      </w:r>
      <w:r w:rsidRPr="00B074DD">
        <w:rPr>
          <w:rFonts w:ascii="Cambria" w:hAnsi="Cambria"/>
          <w:color w:val="000000" w:themeColor="text1"/>
          <w:sz w:val="24"/>
          <w:szCs w:val="24"/>
        </w:rPr>
        <w:br/>
      </w:r>
    </w:p>
    <w:sectPr w:rsidR="00F60E99" w:rsidRPr="00B074DD" w:rsidSect="00B074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505941">
    <w:abstractNumId w:val="8"/>
  </w:num>
  <w:num w:numId="2" w16cid:durableId="1932352641">
    <w:abstractNumId w:val="6"/>
  </w:num>
  <w:num w:numId="3" w16cid:durableId="416441602">
    <w:abstractNumId w:val="5"/>
  </w:num>
  <w:num w:numId="4" w16cid:durableId="1516072267">
    <w:abstractNumId w:val="4"/>
  </w:num>
  <w:num w:numId="5" w16cid:durableId="274677564">
    <w:abstractNumId w:val="7"/>
  </w:num>
  <w:num w:numId="6" w16cid:durableId="1523861600">
    <w:abstractNumId w:val="3"/>
  </w:num>
  <w:num w:numId="7" w16cid:durableId="1190988879">
    <w:abstractNumId w:val="2"/>
  </w:num>
  <w:num w:numId="8" w16cid:durableId="817189654">
    <w:abstractNumId w:val="1"/>
  </w:num>
  <w:num w:numId="9" w16cid:durableId="53870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0FA6"/>
    <w:rsid w:val="00AA1D8D"/>
    <w:rsid w:val="00B074DD"/>
    <w:rsid w:val="00B47730"/>
    <w:rsid w:val="00CB0664"/>
    <w:rsid w:val="00F60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A56F1"/>
  <w14:defaultImageDpi w14:val="300"/>
  <w15:docId w15:val="{87BE8F6D-F4C6-2B45-9DC6-D48823B8A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İkbal Yılmaz</cp:lastModifiedBy>
  <cp:revision>2</cp:revision>
  <dcterms:created xsi:type="dcterms:W3CDTF">2026-01-12T07:14:00Z</dcterms:created>
  <dcterms:modified xsi:type="dcterms:W3CDTF">2026-01-12T07:14:00Z</dcterms:modified>
  <cp:category/>
</cp:coreProperties>
</file>