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 reference</w:t>
            </w:r>
          </w:p>
        </w:tc>
        <w:tc>
          <w:tcPr>
            <w:tcW w:type="dxa" w:w="4320"/>
          </w:tcPr>
          <w:p>
            <w:r>
              <w:t>SUB-2026-0412</w:t>
            </w:r>
          </w:p>
        </w:tc>
      </w:tr>
      <w:tr>
        <w:tc>
          <w:tcPr>
            <w:tcW w:type="dxa" w:w="4320"/>
          </w:tcPr>
          <w:p>
            <w:r>
              <w:t>Applicant</w:t>
            </w:r>
          </w:p>
        </w:tc>
        <w:tc>
          <w:tcPr>
            <w:tcW w:type="dxa" w:w="4320"/>
          </w:tcPr>
          <w:p>
            <w:r>
              <w:t>Acme Laboratories Ltd</w:t>
            </w:r>
          </w:p>
        </w:tc>
      </w:tr>
      <w:tr>
        <w:tc>
          <w:tcPr>
            <w:tcW w:type="dxa" w:w="4320"/>
          </w:tcPr>
          <w:p>
            <w:r>
              <w:t>Product batch</w:t>
            </w:r>
          </w:p>
        </w:tc>
        <w:tc>
          <w:tcPr>
            <w:tcW w:type="dxa" w:w="4320"/>
          </w:tcPr>
          <w:p>
            <w:r>
              <w:t>Batch 2207A</w:t>
            </w:r>
          </w:p>
        </w:tc>
      </w:tr>
    </w:tbl>
    <w:p>
      <w:pPr>
        <w:pStyle w:val="Heading1"/>
      </w:pPr>
      <w:r>
        <w:t>1. Scope</w:t>
      </w:r>
    </w:p>
    <w:p>
      <w:r>
        <w:t>This report covers the physical and chemical testing of the submitted batch.</w:t>
      </w:r>
    </w:p>
    <w:p>
      <w:r>
        <w:br w:type="page"/>
      </w:r>
    </w:p>
    <w:p>
      <w:pPr>
        <w:pStyle w:val="Heading1"/>
      </w:pPr>
      <w:r>
        <w:t>2. Method</w:t>
      </w:r>
    </w:p>
    <w:p>
      <w:r>
        <w:t>Samples were tested following the documented procedures with calibrated instruments.</w:t>
      </w:r>
    </w:p>
    <w:p>
      <w:pPr>
        <w:pStyle w:val="Heading1"/>
      </w:pPr>
      <w:r>
        <w:t>3.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160"/>
          </w:tcPr>
          <w:p>
            <w:r>
              <w:t>Limit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Assay (%)</w:t>
            </w:r>
          </w:p>
        </w:tc>
        <w:tc>
          <w:tcPr>
            <w:tcW w:type="dxa" w:w="2160"/>
          </w:tcPr>
          <w:p>
            <w:r>
              <w:t>98.0 - 102.0</w:t>
            </w:r>
          </w:p>
        </w:tc>
        <w:tc>
          <w:tcPr>
            <w:tcW w:type="dxa" w:w="2160"/>
          </w:tcPr>
          <w:p>
            <w:r>
              <w:t>99.4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pH</w:t>
            </w:r>
          </w:p>
        </w:tc>
        <w:tc>
          <w:tcPr>
            <w:tcW w:type="dxa" w:w="2160"/>
          </w:tcPr>
          <w:p>
            <w:r>
              <w:t>6.5 - 7.5</w:t>
            </w:r>
          </w:p>
        </w:tc>
        <w:tc>
          <w:tcPr>
            <w:tcW w:type="dxa" w:w="2160"/>
          </w:tcPr>
          <w:p>
            <w:r>
              <w:t>7.1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Moisture (%)</w:t>
            </w:r>
          </w:p>
        </w:tc>
        <w:tc>
          <w:tcPr>
            <w:tcW w:type="dxa" w:w="2160"/>
          </w:tcPr>
          <w:p>
            <w:r>
              <w:t>max 2.0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Particle size (um)</w:t>
            </w:r>
          </w:p>
        </w:tc>
        <w:tc>
          <w:tcPr>
            <w:tcW w:type="dxa" w:w="2160"/>
          </w:tcPr>
          <w:p>
            <w:r>
              <w:t>max 50</w:t>
            </w:r>
          </w:p>
        </w:tc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4. Conclusion</w:t>
      </w:r>
    </w:p>
    <w:p>
      <w:r>
        <w:t>Overall conclusion: PASS. The batch meets the specification.</w:t>
      </w:r>
    </w:p>
    <w:p>
      <w:r>
        <w:t>Approved by: Dr. L. Otieno, Head of Laboratory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