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abb619d9d3107addb640128e73878b02644e88d"/>
    <w:p>
      <w:pPr>
        <w:pStyle w:val="Heading1"/>
      </w:pPr>
      <w:r>
        <w:t xml:space="preserve">Инструмент рефлексии качества интервью (IQRT) для исследований ДКЦП</w:t>
      </w:r>
    </w:p>
    <w:bookmarkStart w:id="9" w:name="назначение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IQRT (Interview Quality Reflection Tool) — инструмент систематической рефлексии качества проведённых интервью. Адаптирован для исследований по методологии ДКЦП с целью извлечения качественных данных о мотивационных конфликтах, клиентских сегментах и атрибутах продукта.</w:t>
      </w:r>
    </w:p>
    <w:p>
      <w:pPr>
        <w:pStyle w:val="BodyText"/>
      </w:pPr>
      <w:r>
        <w:t xml:space="preserve">Ключевая проблема: качество текста для анализа определяется на этапе интервью. Никакой последующий анализ не компенсирует поверхностные или искажённые данные.</w:t>
      </w:r>
    </w:p>
    <w:p>
      <w:r>
        <w:pict>
          <v:rect style="width:0;height:1.5pt" o:hralign="center" o:hrstd="t" o:hr="t"/>
        </w:pict>
      </w:r>
    </w:p>
    <w:bookmarkEnd w:id="9"/>
    <w:bookmarkStart w:id="11" w:name="структура-инструмента"/>
    <w:p>
      <w:pPr>
        <w:pStyle w:val="Heading2"/>
      </w:pPr>
      <w:r>
        <w:t xml:space="preserve">Структура инструмента</w:t>
      </w:r>
    </w:p>
    <w:p>
      <w:pPr>
        <w:pStyle w:val="FirstParagraph"/>
      </w:pPr>
      <w:r>
        <w:t xml:space="preserve">IQRT представляет собой таблицу, где: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Строки</w:t>
      </w:r>
      <w:r>
        <w:t xml:space="preserve"> </w:t>
      </w:r>
      <w:r>
        <w:t xml:space="preserve">— транскрибированные вопросы/реплики интервьюера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Столбцы</w:t>
      </w:r>
      <w:r>
        <w:t xml:space="preserve"> </w:t>
      </w:r>
      <w:r>
        <w:t xml:space="preserve">— критерии оценки качества вопроса</w:t>
      </w:r>
    </w:p>
    <w:bookmarkStart w:id="10" w:name="обязательные-столбцы"/>
    <w:p>
      <w:pPr>
        <w:pStyle w:val="Heading3"/>
      </w:pPr>
      <w:r>
        <w:t xml:space="preserve">Обязательные столбцы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3"/>
        <w:gridCol w:w="62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Временна́я метка</w:t>
            </w:r>
          </w:p>
        </w:tc>
        <w:tc>
          <w:tcPr/>
          <w:p>
            <w:pPr>
              <w:pStyle w:val="Compact"/>
            </w:pPr>
            <w:r>
              <w:t xml:space="preserve">Время в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Вопрос/реплика</w:t>
            </w:r>
          </w:p>
        </w:tc>
        <w:tc>
          <w:tcPr/>
          <w:p>
            <w:pPr>
              <w:pStyle w:val="Compact"/>
            </w:pPr>
            <w:r>
              <w:t xml:space="preserve">Дословная транскрипция того, что сказал интервьюер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вопроса</w:t>
            </w:r>
          </w:p>
        </w:tc>
        <w:tc>
          <w:tcPr/>
          <w:p>
            <w:pPr>
              <w:pStyle w:val="Compact"/>
            </w:pPr>
            <w:r>
              <w:t xml:space="preserve">Чего хотел добиться этим вопросом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Соответствует цели?</w:t>
            </w:r>
          </w:p>
        </w:tc>
        <w:tc>
          <w:tcPr/>
          <w:p>
            <w:pPr>
              <w:pStyle w:val="Compact"/>
            </w:pPr>
            <w:r>
              <w:t xml:space="preserve">Да/Нет — помог ли вопрос достичь заявленной цели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Понят респондентом?</w:t>
            </w:r>
          </w:p>
        </w:tc>
        <w:tc>
          <w:tcPr/>
          <w:p>
            <w:pPr>
              <w:pStyle w:val="Compact"/>
            </w:pPr>
            <w:r>
              <w:t xml:space="preserve">Да/Нет/Частично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Сбил с мысли?</w:t>
            </w:r>
          </w:p>
        </w:tc>
        <w:tc>
          <w:tcPr/>
          <w:p>
            <w:pPr>
              <w:pStyle w:val="Compact"/>
            </w:pPr>
            <w:r>
              <w:t xml:space="preserve">Да/Нет — прервал ли вопрос ход размышлений респондента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Ввёл новое понятие?</w:t>
            </w:r>
          </w:p>
        </w:tc>
        <w:tc>
          <w:tcPr/>
          <w:p>
            <w:pPr>
              <w:pStyle w:val="Compact"/>
            </w:pPr>
            <w:r>
              <w:t xml:space="preserve">Да/Нет — ввёл ли интервьюер концепт, которого не было в речи респондента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Какое понятие ввёл</w:t>
            </w:r>
          </w:p>
        </w:tc>
        <w:tc>
          <w:tcPr/>
          <w:p>
            <w:pPr>
              <w:pStyle w:val="Compact"/>
            </w:pPr>
            <w:r>
              <w:t xml:space="preserve">Если да — какое именно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вопроса</w:t>
            </w:r>
          </w:p>
        </w:tc>
        <w:tc>
          <w:tcPr/>
          <w:p>
            <w:pPr>
              <w:pStyle w:val="Compact"/>
            </w:pPr>
            <w:r>
              <w:t xml:space="preserve">См. раздел «Типология вопросов» ниже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Открытый/закрытый</w:t>
            </w:r>
          </w:p>
        </w:tc>
        <w:tc>
          <w:tcPr/>
          <w:p>
            <w:pPr>
              <w:pStyle w:val="Compact"/>
            </w:pPr>
            <w:r>
              <w:t xml:space="preserve">О/З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Качество ответа</w:t>
            </w:r>
          </w:p>
        </w:tc>
        <w:tc>
          <w:tcPr/>
          <w:p>
            <w:pPr>
              <w:pStyle w:val="Compact"/>
            </w:pPr>
            <w:r>
              <w:t xml:space="preserve">Да/Нет — устраивает ли качество полученного ответа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  <w:tc>
          <w:tcPr/>
          <w:p>
            <w:pPr>
              <w:pStyle w:val="Compact"/>
            </w:pPr>
            <w:r>
              <w:t xml:space="preserve">Свободное поле для рефлексии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5" w:name="процедура-использования"/>
    <w:p>
      <w:pPr>
        <w:pStyle w:val="Heading2"/>
      </w:pPr>
      <w:r>
        <w:t xml:space="preserve">Процедура использования</w:t>
      </w:r>
    </w:p>
    <w:bookmarkStart w:id="12" w:name="этап-1.-селективная-транскрипция"/>
    <w:p>
      <w:pPr>
        <w:pStyle w:val="Heading3"/>
      </w:pPr>
      <w:r>
        <w:t xml:space="preserve">Этап 1. Селективная транскрипция</w:t>
      </w:r>
    </w:p>
    <w:p>
      <w:pPr>
        <w:pStyle w:val="FirstParagraph"/>
      </w:pPr>
      <w:r>
        <w:rPr>
          <w:b/>
          <w:bCs/>
        </w:rPr>
        <w:t xml:space="preserve">Если нет транскрипта:</w:t>
      </w:r>
      <w:r>
        <w:t xml:space="preserve"> </w:t>
      </w:r>
      <w:r>
        <w:t xml:space="preserve">Прослушать запись интервью. Транскрибировать</w:t>
      </w:r>
      <w:r>
        <w:t xml:space="preserve"> </w:t>
      </w:r>
      <w:r>
        <w:rPr>
          <w:b/>
          <w:bCs/>
        </w:rPr>
        <w:t xml:space="preserve">только реплики интервьюера</w:t>
      </w:r>
      <w:r>
        <w:t xml:space="preserve"> </w:t>
      </w:r>
      <w:r>
        <w:t xml:space="preserve">— вопросы, уточнения, комментарии. Ответы респондента не записывать, но держать в контексте при оценке.</w:t>
      </w:r>
    </w:p>
    <w:p>
      <w:pPr>
        <w:pStyle w:val="BodyText"/>
      </w:pPr>
      <w:r>
        <w:rPr>
          <w:b/>
          <w:bCs/>
        </w:rPr>
        <w:t xml:space="preserve">Если транскрипт уже есть:</w:t>
      </w:r>
      <w:r>
        <w:t xml:space="preserve"> </w:t>
      </w:r>
      <w:r>
        <w:t xml:space="preserve">Создать таблицу и выписать в неё только вопросы исследователя с таймкодами или номерами строк.</w:t>
      </w:r>
    </w:p>
    <w:p>
      <w:pPr>
        <w:pStyle w:val="BodyText"/>
      </w:pPr>
      <w:r>
        <w:t xml:space="preserve">Это позволяет:</w:t>
      </w:r>
      <w:r>
        <w:t xml:space="preserve"> </w:t>
      </w:r>
      <w:r>
        <w:t xml:space="preserve">- Сфокусироваться на собственных действиях</w:t>
      </w:r>
      <w:r>
        <w:t xml:space="preserve"> </w:t>
      </w:r>
      <w:r>
        <w:t xml:space="preserve">- Сократить время (полная транскрипция не нужна для этой задачи)</w:t>
      </w:r>
      <w:r>
        <w:t xml:space="preserve"> </w:t>
      </w:r>
      <w:r>
        <w:t xml:space="preserve">- Оценивать качество интервьюирования независимо от того, насколько «разговорчив» был респондент</w:t>
      </w:r>
    </w:p>
    <w:bookmarkEnd w:id="12"/>
    <w:bookmarkStart w:id="13" w:name="Xc1a91f0151ca1f0f4ca031b04254b8740d2cc35"/>
    <w:p>
      <w:pPr>
        <w:pStyle w:val="Heading3"/>
      </w:pPr>
      <w:r>
        <w:t xml:space="preserve">Этап 2. Повторное прослушивание с оценкой</w:t>
      </w:r>
    </w:p>
    <w:p>
      <w:pPr>
        <w:pStyle w:val="FirstParagraph"/>
      </w:pPr>
      <w:r>
        <w:t xml:space="preserve">Прослушать запись второй раз. После каждой реплики интервьюера — пауза. Заполнить все столбцы оценки для этой реплики.</w:t>
      </w:r>
    </w:p>
    <w:p>
      <w:pPr>
        <w:pStyle w:val="BodyText"/>
      </w:pPr>
      <w:r>
        <w:t xml:space="preserve">Ключевые вопросы для рефлексии:</w:t>
      </w:r>
      <w:r>
        <w:t xml:space="preserve"> </w:t>
      </w:r>
      <w:r>
        <w:t xml:space="preserve">- Какую цель преследовал этот вопрос?</w:t>
      </w:r>
      <w:r>
        <w:t xml:space="preserve"> </w:t>
      </w:r>
      <w:r>
        <w:t xml:space="preserve">- Помог ли он получить данные для ДКЦП-модели?</w:t>
      </w:r>
      <w:r>
        <w:t xml:space="preserve"> </w:t>
      </w:r>
      <w:r>
        <w:t xml:space="preserve">- Не исказил ли я ответ подсказкой или наводящей формулировкой?</w:t>
      </w:r>
      <w:r>
        <w:t xml:space="preserve"> </w:t>
      </w:r>
      <w:r>
        <w:t xml:space="preserve">- Упустил ли я возможность углубиться в важную тему?</w:t>
      </w:r>
    </w:p>
    <w:bookmarkEnd w:id="13"/>
    <w:bookmarkStart w:id="14" w:name="этап-3.-анализ-паттернов"/>
    <w:p>
      <w:pPr>
        <w:pStyle w:val="Heading3"/>
      </w:pPr>
      <w:r>
        <w:t xml:space="preserve">Этап 3. Анализ паттернов</w:t>
      </w:r>
    </w:p>
    <w:p>
      <w:pPr>
        <w:pStyle w:val="FirstParagraph"/>
      </w:pPr>
      <w:r>
        <w:t xml:space="preserve">После заполнения всей таблицы — анализ на уровне целого интервью:</w:t>
      </w:r>
      <w:r>
        <w:t xml:space="preserve"> </w:t>
      </w:r>
      <w:r>
        <w:t xml:space="preserve">- Какие типы вопросов преобладают?</w:t>
      </w:r>
      <w:r>
        <w:t xml:space="preserve"> </w:t>
      </w:r>
      <w:r>
        <w:t xml:space="preserve">- Сколько раз вводились новые понятия (не от респондента)?</w:t>
      </w:r>
      <w:r>
        <w:t xml:space="preserve"> </w:t>
      </w:r>
      <w:r>
        <w:t xml:space="preserve">- Где были упущены возможности для зондирования?</w:t>
      </w:r>
      <w:r>
        <w:t xml:space="preserve"> </w:t>
      </w:r>
      <w:r>
        <w:t xml:space="preserve">- Какие блоки ДКЦП получили достаточно данных, какие — нет?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специфика-применения-для-дкцп"/>
    <w:p>
      <w:pPr>
        <w:pStyle w:val="Heading2"/>
      </w:pPr>
      <w:r>
        <w:t xml:space="preserve">Специфика применения для ДКЦП</w:t>
      </w:r>
    </w:p>
    <w:bookmarkStart w:id="16" w:name="цели-вопросов-в-контексте-дкцп"/>
    <w:p>
      <w:pPr>
        <w:pStyle w:val="Heading3"/>
      </w:pPr>
      <w:r>
        <w:t xml:space="preserve">Цели вопросов в контексте ДКЦП</w:t>
      </w:r>
    </w:p>
    <w:p>
      <w:pPr>
        <w:pStyle w:val="FirstParagraph"/>
      </w:pPr>
      <w:r>
        <w:t xml:space="preserve">При заполнении столбца «Цель вопроса» привязывайте к блокам модели: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5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Блок ДКЦП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Выявить контекст возникновения обмена</w:t>
            </w:r>
          </w:p>
        </w:tc>
        <w:tc>
          <w:tcPr/>
          <w:p>
            <w:pPr>
              <w:pStyle w:val="Compact"/>
            </w:pPr>
            <w:r>
              <w:t xml:space="preserve">Клиентский сегмент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Описать текущий или желаемый образ деятельности</w:t>
            </w:r>
          </w:p>
        </w:tc>
        <w:tc>
          <w:tcPr/>
          <w:p>
            <w:pPr>
              <w:pStyle w:val="Compact"/>
            </w:pPr>
            <w:r>
              <w:t xml:space="preserve">Мотивационный конфликт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Понять, что именно удерживает клиента в существующем решении</w:t>
            </w:r>
          </w:p>
        </w:tc>
        <w:tc>
          <w:tcPr/>
          <w:p>
            <w:pPr>
              <w:pStyle w:val="Compact"/>
            </w:pPr>
            <w:r>
              <w:t xml:space="preserve">Барьер / противоречие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Узнать критерии выбора</w:t>
            </w:r>
          </w:p>
        </w:tc>
        <w:tc>
          <w:tcPr/>
          <w:p>
            <w:pPr>
              <w:pStyle w:val="Compact"/>
            </w:pPr>
            <w:r>
              <w:t xml:space="preserve">Атрибуты продукта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Понять, что ценят в решении</w:t>
            </w:r>
          </w:p>
        </w:tc>
        <w:tc>
          <w:tcPr/>
          <w:p>
            <w:pPr>
              <w:pStyle w:val="Compact"/>
            </w:pPr>
            <w:r>
              <w:t xml:space="preserve">Ценность</w:t>
            </w:r>
          </w:p>
        </w:tc>
      </w:tr>
    </w:tbl>
    <w:bookmarkEnd w:id="16"/>
    <w:bookmarkStart w:id="17" w:name="типичные-ошибки-в-дкцп-интервью"/>
    <w:p>
      <w:pPr>
        <w:pStyle w:val="Heading3"/>
      </w:pPr>
      <w:r>
        <w:t xml:space="preserve">Типичные ошибки в ДКЦП-интервью</w:t>
      </w:r>
    </w:p>
    <w:p>
      <w:pPr>
        <w:pStyle w:val="FirstParagraph"/>
      </w:pPr>
      <w:r>
        <w:rPr>
          <w:b/>
          <w:bCs/>
        </w:rPr>
        <w:t xml:space="preserve">1. Преждевременное введение терминологии</w:t>
      </w:r>
    </w:p>
    <w:p>
      <w:pPr>
        <w:pStyle w:val="BodyText"/>
      </w:pPr>
      <w:r>
        <w:t xml:space="preserve">Плохо: «Расскажите о вашем мотивационном конфликте при выборе…»</w:t>
      </w:r>
    </w:p>
    <w:p>
      <w:pPr>
        <w:pStyle w:val="BodyText"/>
      </w:pPr>
      <w:r>
        <w:t xml:space="preserve">Хорошо: «Вы упомянули, что хотели X, но в итоге не сделали. Расскажите подробнее — что остановило?»</w:t>
      </w:r>
    </w:p>
    <w:p>
      <w:pPr>
        <w:pStyle w:val="BodyText"/>
      </w:pPr>
      <w:r>
        <w:rPr>
          <w:b/>
          <w:bCs/>
        </w:rPr>
        <w:t xml:space="preserve">2. Вопросы о мнениях вместо поведения</w:t>
      </w:r>
    </w:p>
    <w:p>
      <w:pPr>
        <w:pStyle w:val="BodyText"/>
      </w:pPr>
      <w:r>
        <w:t xml:space="preserve">Плохо: «Как вы считаете, важен ли сервис при покупке?»</w:t>
      </w:r>
    </w:p>
    <w:p>
      <w:pPr>
        <w:pStyle w:val="BodyText"/>
      </w:pPr>
      <w:r>
        <w:t xml:space="preserve">Хорошо: «Вспомните последнюю покупку [продукт]. Как выбирали? Что проверяли?»</w:t>
      </w:r>
    </w:p>
    <w:p>
      <w:pPr>
        <w:pStyle w:val="BodyText"/>
      </w:pPr>
      <w:r>
        <w:rPr>
          <w:b/>
          <w:bCs/>
        </w:rPr>
        <w:t xml:space="preserve">3. Наводящие вопросы с подсказкой ответа</w:t>
      </w:r>
    </w:p>
    <w:p>
      <w:pPr>
        <w:pStyle w:val="BodyText"/>
      </w:pPr>
      <w:r>
        <w:t xml:space="preserve">Плохо: «Наверное, цена была решающим фактором?»</w:t>
      </w:r>
    </w:p>
    <w:p>
      <w:pPr>
        <w:pStyle w:val="BodyText"/>
      </w:pPr>
      <w:r>
        <w:t xml:space="preserve">Хорошо: «Что в итоге определило выбор?»</w:t>
      </w:r>
    </w:p>
    <w:p>
      <w:pPr>
        <w:pStyle w:val="BodyText"/>
      </w:pPr>
      <w:r>
        <w:rPr>
          <w:b/>
          <w:bCs/>
        </w:rPr>
        <w:t xml:space="preserve">4. Переход к следующей теме без зондирования</w:t>
      </w:r>
    </w:p>
    <w:p>
      <w:pPr>
        <w:pStyle w:val="BodyText"/>
      </w:pPr>
      <w:r>
        <w:t xml:space="preserve">Если респондент сказал «было сложно выбрать» — это сигнал к углублению, а не к следующему вопросу из гайда.</w:t>
      </w:r>
    </w:p>
    <w:bookmarkEnd w:id="17"/>
    <w:bookmarkStart w:id="18" w:name="индикаторы-качественных-данных-для-дкцп"/>
    <w:p>
      <w:pPr>
        <w:pStyle w:val="Heading3"/>
      </w:pPr>
      <w:r>
        <w:t xml:space="preserve">Индикаторы качественных данных для ДКЦП</w:t>
      </w:r>
    </w:p>
    <w:p>
      <w:pPr>
        <w:pStyle w:val="FirstParagraph"/>
      </w:pPr>
      <w:r>
        <w:t xml:space="preserve">Хороший вопрос приводит к ответу, где респондент:</w:t>
      </w:r>
      <w:r>
        <w:t xml:space="preserve"> </w:t>
      </w:r>
      <w:r>
        <w:t xml:space="preserve">- Описывает конкретную ситуацию (время, место, контекст)</w:t>
      </w:r>
      <w:r>
        <w:t xml:space="preserve"> </w:t>
      </w:r>
      <w:r>
        <w:t xml:space="preserve">- Говорит от первого лица о своём опыте</w:t>
      </w:r>
      <w:r>
        <w:t xml:space="preserve"> </w:t>
      </w:r>
      <w:r>
        <w:t xml:space="preserve">- Называет конкретные действия («я сделал», «я проверил»)</w:t>
      </w:r>
      <w:r>
        <w:t xml:space="preserve"> </w:t>
      </w:r>
      <w:r>
        <w:t xml:space="preserve">- Объясняет логику своих решений</w:t>
      </w:r>
      <w:r>
        <w:t xml:space="preserve"> </w:t>
      </w:r>
      <w:r>
        <w:t xml:space="preserve">- Описывает внутренний конфликт («с одной стороны… с другой»)</w:t>
      </w:r>
    </w:p>
    <w:p>
      <w:pPr>
        <w:pStyle w:val="BodyText"/>
      </w:pPr>
      <w:r>
        <w:t xml:space="preserve">Плохой признак — ответ:</w:t>
      </w:r>
      <w:r>
        <w:t xml:space="preserve"> </w:t>
      </w:r>
      <w:r>
        <w:t xml:space="preserve">- В общих категориях («обычно люди…», «все так делают»)</w:t>
      </w:r>
      <w:r>
        <w:t xml:space="preserve"> </w:t>
      </w:r>
      <w:r>
        <w:t xml:space="preserve">- Во втором лице («когда ты выбираешь, ты смотришь на…»)</w:t>
      </w:r>
      <w:r>
        <w:t xml:space="preserve"> </w:t>
      </w:r>
      <w:r>
        <w:t xml:space="preserve">- Декларативный («качество важно», «сервис должен быть хорошим»)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типология-вопросов"/>
    <w:p>
      <w:pPr>
        <w:pStyle w:val="Heading2"/>
      </w:pPr>
      <w:r>
        <w:t xml:space="preserve">Типология вопросов</w:t>
      </w:r>
    </w:p>
    <w:p>
      <w:pPr>
        <w:pStyle w:val="FirstParagraph"/>
      </w:pPr>
      <w:r>
        <w:t xml:space="preserve">Авторы IQRT ссылаются на классификацию Smith et al. (2022) из книги «Interpretative Phenomenological Analysis: Theory, Method, and Research». Полная типология включает 8 категорий, которые можно разделить на две группы по функции.</w:t>
      </w:r>
    </w:p>
    <w:bookmarkStart w:id="20" w:name="группа-1-вопросы-о-том-что-произошло"/>
    <w:p>
      <w:pPr>
        <w:pStyle w:val="Heading3"/>
      </w:pPr>
      <w:r>
        <w:t xml:space="preserve">Группа 1: Вопросы о том, ЧТО произошло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5"/>
        <w:gridCol w:w="2951"/>
        <w:gridCol w:w="3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Пример для ДКЦП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Описательный (Descriptive)</w:t>
            </w:r>
          </w:p>
        </w:tc>
        <w:tc>
          <w:tcPr/>
          <w:p>
            <w:pPr>
              <w:pStyle w:val="Compact"/>
            </w:pPr>
            <w:r>
              <w:t xml:space="preserve">Получить детальное описание ситуации, контекста, обстановки</w:t>
            </w:r>
          </w:p>
        </w:tc>
        <w:tc>
          <w:tcPr/>
          <w:p>
            <w:pPr>
              <w:pStyle w:val="Compact"/>
            </w:pPr>
            <w:r>
              <w:t xml:space="preserve">«Опишите ситуацию, когда вы последний раз выбирали [продукт]»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Нарративный (Narrative)</w:t>
            </w:r>
          </w:p>
        </w:tc>
        <w:tc>
          <w:tcPr/>
          <w:p>
            <w:pPr>
              <w:pStyle w:val="Compact"/>
            </w:pPr>
            <w:r>
              <w:t xml:space="preserve">Получить хронологическую последовательность событий, историю</w:t>
            </w:r>
          </w:p>
        </w:tc>
        <w:tc>
          <w:tcPr/>
          <w:p>
            <w:pPr>
              <w:pStyle w:val="Compact"/>
            </w:pPr>
            <w:r>
              <w:t xml:space="preserve">«Расскажите по шагам, как вы пришли к этому решению — с чего началось?»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Структурный (Structural)</w:t>
            </w:r>
          </w:p>
        </w:tc>
        <w:tc>
          <w:tcPr/>
          <w:p>
            <w:pPr>
              <w:pStyle w:val="Compact"/>
            </w:pPr>
            <w:r>
              <w:t xml:space="preserve">Понять организацию опыта, взаимосвязи элементов</w:t>
            </w:r>
          </w:p>
        </w:tc>
        <w:tc>
          <w:tcPr/>
          <w:p>
            <w:pPr>
              <w:pStyle w:val="Compact"/>
            </w:pPr>
            <w:r>
              <w:t xml:space="preserve">«Кто ещё был вовлечён в это решение? Как распределялись роли?»</w:t>
            </w:r>
          </w:p>
        </w:tc>
      </w:tr>
    </w:tbl>
    <w:bookmarkEnd w:id="20"/>
    <w:bookmarkStart w:id="21" w:name="X372ce054959c1c56cce8bb16a888b75539fa934"/>
    <w:p>
      <w:pPr>
        <w:pStyle w:val="Heading3"/>
      </w:pPr>
      <w:r>
        <w:t xml:space="preserve">Группа 2: Вопросы о том, КАК респондент осмысляет опыт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8"/>
        <w:gridCol w:w="3210"/>
        <w:gridCol w:w="30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Пример для ДКЦП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Оценочный (Evaluative)</w:t>
            </w:r>
          </w:p>
        </w:tc>
        <w:tc>
          <w:tcPr/>
          <w:p>
            <w:pPr>
              <w:pStyle w:val="Compact"/>
            </w:pPr>
            <w:r>
              <w:t xml:space="preserve">Понять оценку, отношение, значимость события для респондента</w:t>
            </w:r>
          </w:p>
        </w:tc>
        <w:tc>
          <w:tcPr/>
          <w:p>
            <w:pPr>
              <w:pStyle w:val="Compact"/>
            </w:pPr>
            <w:r>
              <w:t xml:space="preserve">«Что было самым сложным в этой ситуации?»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Сравнительный (Comparative)</w:t>
            </w:r>
          </w:p>
        </w:tc>
        <w:tc>
          <w:tcPr/>
          <w:p>
            <w:pPr>
              <w:pStyle w:val="Compact"/>
            </w:pPr>
            <w:r>
              <w:t xml:space="preserve">Сопоставить опыт с другими ситуациями, выявить различия</w:t>
            </w:r>
          </w:p>
        </w:tc>
        <w:tc>
          <w:tcPr/>
          <w:p>
            <w:pPr>
              <w:pStyle w:val="Compact"/>
            </w:pPr>
            <w:r>
              <w:t xml:space="preserve">«Чем этот выбор отличался от предыдущего?»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Циркулярный (Circular)</w:t>
            </w:r>
          </w:p>
        </w:tc>
        <w:tc>
          <w:tcPr/>
          <w:p>
            <w:pPr>
              <w:pStyle w:val="Compact"/>
            </w:pPr>
            <w:r>
              <w:t xml:space="preserve">Понять, как респондент видит восприятие других людей</w:t>
            </w:r>
          </w:p>
        </w:tc>
        <w:tc>
          <w:tcPr/>
          <w:p>
            <w:pPr>
              <w:pStyle w:val="Compact"/>
            </w:pPr>
            <w:r>
              <w:t xml:space="preserve">«Как, по вашему мнению, это выглядело со стороны коллег?»</w:t>
            </w:r>
          </w:p>
        </w:tc>
      </w:tr>
    </w:tbl>
    <w:bookmarkEnd w:id="21"/>
    <w:bookmarkStart w:id="22" w:name="группа-3-технические-приёмы"/>
    <w:p>
      <w:pPr>
        <w:pStyle w:val="Heading3"/>
      </w:pPr>
      <w:r>
        <w:t xml:space="preserve">Группа 3: Технические приёмы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7"/>
        <w:gridCol w:w="3757"/>
        <w:gridCol w:w="27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Промпт (Prompt)</w:t>
            </w:r>
          </w:p>
        </w:tc>
        <w:tc>
          <w:tcPr/>
          <w:p>
            <w:pPr>
              <w:pStyle w:val="Compact"/>
            </w:pPr>
            <w:r>
              <w:t xml:space="preserve">Короткий стимул для продолжения («и?», «а дальше?», кивок, пауза)</w:t>
            </w:r>
          </w:p>
        </w:tc>
        <w:tc>
          <w:tcPr/>
          <w:p>
            <w:pPr>
              <w:pStyle w:val="Compact"/>
            </w:pPr>
            <w:r>
              <w:t xml:space="preserve">«Угу…», «И что потом?»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Проба / зонд (Probe)</w:t>
            </w:r>
          </w:p>
        </w:tc>
        <w:tc>
          <w:tcPr/>
          <w:p>
            <w:pPr>
              <w:pStyle w:val="Compact"/>
            </w:pPr>
            <w:r>
              <w:t xml:space="preserve">Углубление в уже сказанное, запрос деталей</w:t>
            </w:r>
          </w:p>
        </w:tc>
        <w:tc>
          <w:tcPr/>
          <w:p>
            <w:pPr>
              <w:pStyle w:val="Compact"/>
            </w:pPr>
            <w:r>
              <w:t xml:space="preserve">«Вы сказали</w:t>
            </w:r>
            <w:r>
              <w:t xml:space="preserve"> </w:t>
            </w:r>
            <w:r>
              <w:t xml:space="preserve">“было неудобно”</w:t>
            </w:r>
            <w:r>
              <w:t xml:space="preserve"> </w:t>
            </w:r>
            <w:r>
              <w:t xml:space="preserve">— можете подробнее?»</w:t>
            </w:r>
          </w:p>
        </w:tc>
      </w:tr>
    </w:tbl>
    <w:bookmarkEnd w:id="22"/>
    <w:bookmarkStart w:id="23" w:name="баланс-типов-вопросов"/>
    <w:p>
      <w:pPr>
        <w:pStyle w:val="Heading3"/>
      </w:pPr>
      <w:r>
        <w:t xml:space="preserve">Баланс типов вопросов</w:t>
      </w:r>
    </w:p>
    <w:p>
      <w:pPr>
        <w:pStyle w:val="FirstParagraph"/>
      </w:pPr>
      <w:r>
        <w:t xml:space="preserve">Ключевой принцип: нужен баланс между вопросами о фактах (что произошло) и вопросами об осмыслении (как понимает).</w:t>
      </w:r>
    </w:p>
    <w:p>
      <w:pPr>
        <w:pStyle w:val="BodyText"/>
      </w:pPr>
      <w:r>
        <w:rPr>
          <w:b/>
          <w:bCs/>
        </w:rPr>
        <w:t xml:space="preserve">Для ДКЦП критично:</w:t>
      </w:r>
      <w:r>
        <w:t xml:space="preserve"> </w:t>
      </w:r>
      <w:r>
        <w:t xml:space="preserve">- Начинать с описательных и нарративных вопросов — получить фактуру</w:t>
      </w:r>
      <w:r>
        <w:t xml:space="preserve"> </w:t>
      </w:r>
      <w:r>
        <w:t xml:space="preserve">- Использовать идиографические зонды (I) — от обобщений к конкретике</w:t>
      </w:r>
      <w:r>
        <w:t xml:space="preserve"> </w:t>
      </w:r>
      <w:r>
        <w:t xml:space="preserve">- Переходить к оценочным и объяснительным — понять логику выбора</w:t>
      </w:r>
      <w:r>
        <w:t xml:space="preserve"> </w:t>
      </w:r>
      <w:r>
        <w:t xml:space="preserve">- Сравнительные вопросы — для выявления критериев и атрибутов</w:t>
      </w:r>
    </w:p>
    <w:p>
      <w:pPr>
        <w:pStyle w:val="BodyText"/>
      </w:pPr>
      <w:r>
        <w:rPr>
          <w:b/>
          <w:bCs/>
        </w:rPr>
        <w:t xml:space="preserve">Типичная ошибка:</w:t>
      </w:r>
      <w:r>
        <w:t xml:space="preserve"> </w:t>
      </w:r>
      <w:r>
        <w:t xml:space="preserve">слишком рано переходить к объяснительным вопросам («почему?»), не получив достаточно описательного материала. Респондент начинает рационализировать вместо того, чтобы вспоминать.</w:t>
      </w:r>
    </w:p>
    <w:bookmarkEnd w:id="23"/>
    <w:bookmarkStart w:id="24" w:name="применение-в-столбце-тип-вопроса"/>
    <w:p>
      <w:pPr>
        <w:pStyle w:val="Heading3"/>
      </w:pPr>
      <w:r>
        <w:t xml:space="preserve">Применение в столбце «Тип вопроса»</w:t>
      </w:r>
    </w:p>
    <w:p>
      <w:pPr>
        <w:pStyle w:val="FirstParagraph"/>
      </w:pPr>
      <w:r>
        <w:t xml:space="preserve">При заполнении IQRT используйте сокращения: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Оп</w:t>
      </w:r>
      <w:r>
        <w:t xml:space="preserve"> </w:t>
      </w:r>
      <w:r>
        <w:t xml:space="preserve">— описательный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Нр</w:t>
      </w:r>
      <w:r>
        <w:t xml:space="preserve"> </w:t>
      </w:r>
      <w:r>
        <w:t xml:space="preserve">— нарративный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</w:t>
      </w:r>
      <w:r>
        <w:t xml:space="preserve"> </w:t>
      </w:r>
      <w:r>
        <w:t xml:space="preserve">— структурный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Оц</w:t>
      </w:r>
      <w:r>
        <w:t xml:space="preserve"> </w:t>
      </w:r>
      <w:r>
        <w:t xml:space="preserve">— оценочный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Ср</w:t>
      </w:r>
      <w:r>
        <w:t xml:space="preserve"> </w:t>
      </w:r>
      <w:r>
        <w:t xml:space="preserve">— сравнительный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Цр</w:t>
      </w:r>
      <w:r>
        <w:t xml:space="preserve"> </w:t>
      </w:r>
      <w:r>
        <w:t xml:space="preserve">— циркулярный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</w:t>
      </w:r>
      <w:r>
        <w:t xml:space="preserve"> </w:t>
      </w:r>
      <w:r>
        <w:t xml:space="preserve">— промпт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Зн</w:t>
      </w:r>
      <w:r>
        <w:t xml:space="preserve"> </w:t>
      </w:r>
      <w:r>
        <w:t xml:space="preserve">— зонд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режим-использования"/>
    <w:p>
      <w:pPr>
        <w:pStyle w:val="Heading2"/>
      </w:pPr>
      <w:r>
        <w:t xml:space="preserve">Режим использования</w:t>
      </w:r>
    </w:p>
    <w:bookmarkStart w:id="26" w:name="для-обучения-интервьюеров"/>
    <w:p>
      <w:pPr>
        <w:pStyle w:val="Heading3"/>
      </w:pPr>
      <w:r>
        <w:t xml:space="preserve">Для обучения интервьюеров</w:t>
      </w:r>
    </w:p>
    <w:p>
      <w:pPr>
        <w:pStyle w:val="Compact"/>
        <w:numPr>
          <w:ilvl w:val="0"/>
          <w:numId w:val="1002"/>
        </w:numPr>
      </w:pPr>
      <w:r>
        <w:t xml:space="preserve">Провести интервью</w:t>
      </w:r>
    </w:p>
    <w:p>
      <w:pPr>
        <w:pStyle w:val="Compact"/>
        <w:numPr>
          <w:ilvl w:val="0"/>
          <w:numId w:val="1002"/>
        </w:numPr>
      </w:pPr>
      <w:r>
        <w:t xml:space="preserve">Заполнить IQRT самостоятельно</w:t>
      </w:r>
    </w:p>
    <w:p>
      <w:pPr>
        <w:pStyle w:val="Compact"/>
        <w:numPr>
          <w:ilvl w:val="0"/>
          <w:numId w:val="1002"/>
        </w:numPr>
      </w:pPr>
      <w:r>
        <w:t xml:space="preserve">Обсудить с наставником конкретные вопросы</w:t>
      </w:r>
    </w:p>
    <w:p>
      <w:pPr>
        <w:pStyle w:val="Compact"/>
        <w:numPr>
          <w:ilvl w:val="0"/>
          <w:numId w:val="1002"/>
        </w:numPr>
      </w:pPr>
      <w:r>
        <w:t xml:space="preserve">Определить 2-3 навыка для развития</w:t>
      </w:r>
    </w:p>
    <w:p>
      <w:pPr>
        <w:pStyle w:val="Compact"/>
        <w:numPr>
          <w:ilvl w:val="0"/>
          <w:numId w:val="1002"/>
        </w:numPr>
      </w:pPr>
      <w:r>
        <w:t xml:space="preserve">Повторить цикл</w:t>
      </w:r>
    </w:p>
    <w:bookmarkEnd w:id="26"/>
    <w:bookmarkStart w:id="27" w:name="для-самоконтроля-опытного-исследователя"/>
    <w:p>
      <w:pPr>
        <w:pStyle w:val="Heading3"/>
      </w:pPr>
      <w:r>
        <w:t xml:space="preserve">Для самоконтроля опытного исследователя</w:t>
      </w:r>
    </w:p>
    <w:p>
      <w:pPr>
        <w:pStyle w:val="FirstParagraph"/>
      </w:pPr>
      <w:r>
        <w:t xml:space="preserve">Применять выборочно — к каждому 3-5 интервью или к проблемным случаям (когда данные кажутся «пустыми»).</w:t>
      </w:r>
    </w:p>
    <w:bookmarkEnd w:id="27"/>
    <w:bookmarkStart w:id="28" w:name="для-аудита-исследовательского-проекта"/>
    <w:p>
      <w:pPr>
        <w:pStyle w:val="Heading3"/>
      </w:pPr>
      <w:r>
        <w:t xml:space="preserve">Для аудита исследовательского проекта</w:t>
      </w:r>
    </w:p>
    <w:p>
      <w:pPr>
        <w:pStyle w:val="FirstParagraph"/>
      </w:pPr>
      <w:r>
        <w:t xml:space="preserve">Руководитель проекта анализирует IQRT нескольких интервью разных интервьюеров для калибровки подходов.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ограничения-инструмента"/>
    <w:p>
      <w:pPr>
        <w:pStyle w:val="Heading2"/>
      </w:pPr>
      <w:r>
        <w:t xml:space="preserve">Ограничения инструмента</w:t>
      </w:r>
    </w:p>
    <w:p>
      <w:pPr>
        <w:pStyle w:val="FirstParagraph"/>
      </w:pPr>
      <w:r>
        <w:t xml:space="preserve">IQRT оценивает только действия интервьюера. Он не заменяет:</w:t>
      </w:r>
      <w:r>
        <w:t xml:space="preserve"> </w:t>
      </w:r>
      <w:r>
        <w:t xml:space="preserve">- Анализ качества самих данных</w:t>
      </w:r>
      <w:r>
        <w:t xml:space="preserve"> </w:t>
      </w:r>
      <w:r>
        <w:t xml:space="preserve">- Оценку репрезентативности выборки</w:t>
      </w:r>
      <w:r>
        <w:t xml:space="preserve"> </w:t>
      </w:r>
      <w:r>
        <w:t xml:space="preserve">- Проверку валидности интерпретаций</w:t>
      </w:r>
    </w:p>
    <w:p>
      <w:pPr>
        <w:pStyle w:val="BodyText"/>
      </w:pPr>
      <w:r>
        <w:t xml:space="preserve">Качественное интервью — необходимое, но не достаточное условие качественного исследования.</w:t>
      </w:r>
    </w:p>
    <w:p>
      <w:r>
        <w:pict>
          <v:rect style="width:0;height:1.5pt" o:hralign="center" o:hrstd="t" o:hr="t"/>
        </w:pict>
      </w:r>
    </w:p>
    <w:bookmarkEnd w:id="30"/>
    <w:bookmarkStart w:id="31" w:name="шаблон-таблицы-iqrt"/>
    <w:p>
      <w:pPr>
        <w:pStyle w:val="Heading2"/>
      </w:pPr>
      <w:r>
        <w:t xml:space="preserve">Шаблон таблицы IQRT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"/>
        <w:gridCol w:w="347"/>
        <w:gridCol w:w="972"/>
        <w:gridCol w:w="1111"/>
        <w:gridCol w:w="972"/>
        <w:gridCol w:w="416"/>
        <w:gridCol w:w="347"/>
        <w:gridCol w:w="972"/>
        <w:gridCol w:w="347"/>
        <w:gridCol w:w="208"/>
        <w:gridCol w:w="208"/>
        <w:gridCol w:w="1042"/>
        <w:gridCol w:w="7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Время</w:t>
            </w:r>
          </w:p>
        </w:tc>
        <w:tc>
          <w:tcPr/>
          <w:p>
            <w:pPr>
              <w:pStyle w:val="Compact"/>
            </w:pPr>
            <w:r>
              <w:t xml:space="preserve">Вопрос/реплика</w:t>
            </w:r>
          </w:p>
        </w:tc>
        <w:tc>
          <w:tcPr/>
          <w:p>
            <w:pPr>
              <w:pStyle w:val="Compact"/>
            </w:pPr>
            <w:r>
              <w:t xml:space="preserve">Цель (блок ДКЦП)</w:t>
            </w:r>
          </w:p>
        </w:tc>
        <w:tc>
          <w:tcPr/>
          <w:p>
            <w:pPr>
              <w:pStyle w:val="Compact"/>
            </w:pPr>
            <w:r>
              <w:t xml:space="preserve">Соответствует?</w:t>
            </w:r>
          </w:p>
        </w:tc>
        <w:tc>
          <w:tcPr/>
          <w:p>
            <w:pPr>
              <w:pStyle w:val="Compact"/>
            </w:pPr>
            <w:r>
              <w:t xml:space="preserve">Понят?</w:t>
            </w:r>
          </w:p>
        </w:tc>
        <w:tc>
          <w:tcPr/>
          <w:p>
            <w:pPr>
              <w:pStyle w:val="Compact"/>
            </w:pPr>
            <w:r>
              <w:t xml:space="preserve">Сбил?</w:t>
            </w:r>
          </w:p>
        </w:tc>
        <w:tc>
          <w:tcPr/>
          <w:p>
            <w:pPr>
              <w:pStyle w:val="Compact"/>
            </w:pPr>
            <w:r>
              <w:t xml:space="preserve">Новое понятие?</w:t>
            </w:r>
          </w:p>
        </w:tc>
        <w:tc>
          <w:tcPr/>
          <w:p>
            <w:pPr>
              <w:pStyle w:val="Compact"/>
            </w:pPr>
            <w:r>
              <w:t xml:space="preserve">Какое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О/З</w:t>
            </w:r>
          </w:p>
        </w:tc>
        <w:tc>
          <w:tcPr/>
          <w:p>
            <w:pPr>
              <w:pStyle w:val="Compact"/>
            </w:pPr>
            <w:r>
              <w:t xml:space="preserve">Качество ответа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источники"/>
    <w:p>
      <w:pPr>
        <w:pStyle w:val="Heading2"/>
      </w:pPr>
      <w:r>
        <w:t xml:space="preserve">Источники</w:t>
      </w:r>
    </w:p>
    <w:p>
      <w:pPr>
        <w:pStyle w:val="FirstParagraph"/>
      </w:pPr>
      <w:r>
        <w:rPr>
          <w:b/>
          <w:bCs/>
        </w:rPr>
        <w:t xml:space="preserve">Основной инструмент:</w:t>
      </w:r>
      <w:r>
        <w:t xml:space="preserve"> </w:t>
      </w:r>
      <w:r>
        <w:t xml:space="preserve">Huff, J.L. &amp; Brooks, A.L. (2024). The Interview Quality Reflection Tool (IQRT): Honing the Craft of Experiential Interviews.</w:t>
      </w:r>
      <w:r>
        <w:t xml:space="preserve"> </w:t>
      </w:r>
      <w:r>
        <w:rPr>
          <w:i/>
          <w:iCs/>
        </w:rPr>
        <w:t xml:space="preserve">International Journal of Qualitative Methods</w:t>
      </w:r>
      <w:r>
        <w:t xml:space="preserve">, 23, 1-13.</w:t>
      </w:r>
    </w:p>
    <w:p>
      <w:pPr>
        <w:pStyle w:val="BodyText"/>
      </w:pPr>
      <w:r>
        <w:rPr>
          <w:b/>
          <w:bCs/>
        </w:rPr>
        <w:t xml:space="preserve">Типология вопросов IPA:</w:t>
      </w:r>
      <w:r>
        <w:t xml:space="preserve"> </w:t>
      </w:r>
      <w:r>
        <w:t xml:space="preserve">Smith, J.A., Flowers, P. &amp; Larkin, M. (2022). Interpretative Phenomenological Analysis: Theory, Method, and Research (2nd ed.). SAGE Publishing.</w:t>
      </w:r>
    </w:p>
    <w:p>
      <w:pPr>
        <w:pStyle w:val="BodyText"/>
      </w:pPr>
      <w:r>
        <w:rPr>
          <w:b/>
          <w:bCs/>
        </w:rPr>
        <w:t xml:space="preserve">Модель зондирующих вопросов DICE:</w:t>
      </w:r>
      <w:r>
        <w:t xml:space="preserve"> </w:t>
      </w:r>
      <w:r>
        <w:t xml:space="preserve">Robinson, O.C. (2023). Probing in qualitative research interviews: Theory and practice.</w:t>
      </w:r>
      <w:r>
        <w:t xml:space="preserve"> </w:t>
      </w:r>
      <w:r>
        <w:rPr>
          <w:i/>
          <w:iCs/>
        </w:rPr>
        <w:t xml:space="preserve">Qualitative Research in Psychology</w:t>
      </w:r>
      <w:r>
        <w:t xml:space="preserve">, 20(3).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Адаптация для ДКЦП учитывает специфику сбора данных о мотивационных конфликтах и потребительском поведении.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2026-01-22T12:41:42Z</dcterms:created>
  <dcterms:modified xsi:type="dcterms:W3CDTF">2026-01-22T12:41:42Z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