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BE" w:rsidRDefault="00B12FDF" w:rsidP="00B12F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2FDF">
        <w:rPr>
          <w:rFonts w:ascii="Times New Roman" w:hAnsi="Times New Roman" w:cs="Times New Roman"/>
          <w:b/>
          <w:sz w:val="32"/>
          <w:szCs w:val="32"/>
          <w:u w:val="single"/>
        </w:rPr>
        <w:t>СТОИМОСТЬ ОБУЧЕНИЯ</w:t>
      </w:r>
    </w:p>
    <w:p w:rsidR="00B12FDF" w:rsidRDefault="00B12FDF" w:rsidP="001F3A78">
      <w:pPr>
        <w:rPr>
          <w:rFonts w:ascii="Times New Roman" w:hAnsi="Times New Roman" w:cs="Times New Roman"/>
          <w:sz w:val="32"/>
          <w:szCs w:val="32"/>
        </w:rPr>
      </w:pPr>
    </w:p>
    <w:p w:rsidR="00B12FDF" w:rsidRDefault="00B12FDF" w:rsidP="00B12FDF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u w:val="single"/>
        </w:rPr>
        <w:t>Ассистентура-стажировка</w:t>
      </w:r>
      <w:proofErr w:type="spellEnd"/>
    </w:p>
    <w:p w:rsidR="00B12FDF" w:rsidRDefault="00B12FDF" w:rsidP="00B12FDF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</w:p>
    <w:tbl>
      <w:tblPr>
        <w:tblStyle w:val="a3"/>
        <w:tblW w:w="0" w:type="auto"/>
        <w:tblLook w:val="04A0"/>
      </w:tblPr>
      <w:tblGrid>
        <w:gridCol w:w="4841"/>
        <w:gridCol w:w="2364"/>
      </w:tblGrid>
      <w:tr w:rsidR="00B12FDF" w:rsidTr="000C2A17">
        <w:tc>
          <w:tcPr>
            <w:tcW w:w="4841" w:type="dxa"/>
            <w:tcBorders>
              <w:bottom w:val="nil"/>
            </w:tcBorders>
          </w:tcPr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364" w:type="dxa"/>
            <w:vMerge w:val="restart"/>
          </w:tcPr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FDF">
              <w:rPr>
                <w:rFonts w:ascii="Times New Roman" w:hAnsi="Times New Roman" w:cs="Times New Roman"/>
                <w:sz w:val="28"/>
                <w:szCs w:val="28"/>
              </w:rPr>
              <w:t>Очная форма</w:t>
            </w:r>
          </w:p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DF" w:rsidTr="00B12FDF">
        <w:trPr>
          <w:trHeight w:val="240"/>
        </w:trPr>
        <w:tc>
          <w:tcPr>
            <w:tcW w:w="4841" w:type="dxa"/>
            <w:tcBorders>
              <w:top w:val="nil"/>
              <w:bottom w:val="single" w:sz="4" w:space="0" w:color="auto"/>
            </w:tcBorders>
          </w:tcPr>
          <w:p w:rsidR="00B12FDF" w:rsidRDefault="00B12FDF" w:rsidP="008042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64" w:type="dxa"/>
            <w:vMerge/>
            <w:tcBorders>
              <w:bottom w:val="single" w:sz="4" w:space="0" w:color="auto"/>
            </w:tcBorders>
          </w:tcPr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DF" w:rsidTr="00B12FDF">
        <w:trPr>
          <w:trHeight w:val="1125"/>
        </w:trPr>
        <w:tc>
          <w:tcPr>
            <w:tcW w:w="4841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2FDF" w:rsidRDefault="00B12FDF" w:rsidP="00B12F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52.09.02 Актерское мастерство</w:t>
            </w:r>
          </w:p>
          <w:p w:rsidR="00B12FDF" w:rsidRDefault="00B12FDF" w:rsidP="00B12F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52.09.03 Сценическая речь</w:t>
            </w:r>
          </w:p>
          <w:p w:rsidR="00B12FDF" w:rsidRDefault="00B12FDF" w:rsidP="00B12F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52.09.07 Драматургия</w:t>
            </w:r>
          </w:p>
          <w:p w:rsidR="00B12FDF" w:rsidRDefault="00B12FDF" w:rsidP="00B12F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55.09.01 Режиссура аудиовизуальных искусств</w:t>
            </w:r>
          </w:p>
          <w:p w:rsidR="00821B00" w:rsidRDefault="00821B00" w:rsidP="00821B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55.09.03 Звукорежиссура аудиовизуальных искусств</w:t>
            </w:r>
          </w:p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FDF" w:rsidRPr="00B12FDF" w:rsidRDefault="00821B00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  <w:r w:rsidR="00B12FDF" w:rsidRPr="00B12FDF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:rsidR="00B12FDF" w:rsidRPr="00B12FDF" w:rsidRDefault="00B12FDF" w:rsidP="0080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2FDF" w:rsidRDefault="00B12FDF" w:rsidP="00B12F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2FDF" w:rsidRPr="00B12FDF" w:rsidRDefault="00B12FDF" w:rsidP="00B12FD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12FDF" w:rsidRPr="00B12FDF" w:rsidSect="00B02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2FDF"/>
    <w:rsid w:val="001F3A78"/>
    <w:rsid w:val="003368DB"/>
    <w:rsid w:val="003A6613"/>
    <w:rsid w:val="00821B00"/>
    <w:rsid w:val="00B029BE"/>
    <w:rsid w:val="00B12FDF"/>
    <w:rsid w:val="00C2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F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3</cp:revision>
  <dcterms:created xsi:type="dcterms:W3CDTF">2018-05-30T10:57:00Z</dcterms:created>
  <dcterms:modified xsi:type="dcterms:W3CDTF">2018-05-30T10:59:00Z</dcterms:modified>
</cp:coreProperties>
</file>