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Roboto" w:hAnsi="Roboto" w:eastAsia="Roboto"/>
          <w:b/>
          <w:color w:val="11102A"/>
          <w:sz w:val="16"/>
        </w:rPr>
        <w:t>ENISTERE FOUNDATION  COLLECTION DOCUMENTAIRE UDM  V6</w:t>
      </w:r>
    </w:p>
    <w:p>
      <w:pPr>
        <w:pStyle w:val="Title"/>
      </w:pPr>
      <w:r>
        <w:rPr>
          <w:rFonts w:ascii="Montserrat" w:hAnsi="Montserrat" w:eastAsia="Montserrat"/>
          <w:b/>
          <w:color w:val="000000"/>
          <w:sz w:val="60"/>
        </w:rPr>
        <w:t>Système de design UX UI et interfaces de référence</w:t>
      </w:r>
    </w:p>
    <w:p>
      <w:pPr>
        <w:pStyle w:val="Subtitle"/>
      </w:pPr>
      <w:r>
        <w:rPr>
          <w:rFonts w:ascii="Roboto" w:hAnsi="Roboto" w:eastAsia="Roboto"/>
          <w:b w:val="0"/>
          <w:color w:val="000000"/>
          <w:sz w:val="26"/>
        </w:rPr>
        <w:t>Fondations visuelles, règles d’interface, composants et premières maquettes de ENISTERE FOUNDATION</w:t>
      </w:r>
    </w:p>
    <w:p>
      <w:pPr>
        <w:keepNext/>
        <w:jc w:val="center"/>
      </w:pPr>
      <w:r>
        <w:drawing>
          <wp:inline xmlns:a="http://schemas.openxmlformats.org/drawingml/2006/main" xmlns:pic="http://schemas.openxmlformats.org/drawingml/2006/picture">
            <wp:extent cx="6400800" cy="2880360"/>
            <wp:docPr id="1" name="Picture 1" descr="Aperçu du système d’interface de ENISTERE FOUNDATION"/>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400800" cy="2880360"/>
                    </a:xfrm>
                    <a:prstGeom prst="rect"/>
                  </pic:spPr>
                </pic:pic>
              </a:graphicData>
            </a:graphic>
          </wp:inline>
        </w:drawing>
      </w:r>
    </w:p>
    <w:p>
      <w:pPr>
        <w:pStyle w:val="Caption"/>
        <w:jc w:val="center"/>
      </w:pPr>
      <w:r>
        <w:rPr>
          <w:rFonts w:ascii="Roboto" w:hAnsi="Roboto" w:eastAsia="Roboto"/>
          <w:b w:val="0"/>
          <w:color w:val="5B6472"/>
          <w:sz w:val="17"/>
        </w:rPr>
        <w:t>Aperçu du langage d’interface</w:t>
      </w:r>
    </w:p>
    <w:p>
      <w:pPr>
        <w:jc w:val="center"/>
      </w:pPr>
      <w:r>
        <w:rPr>
          <w:rFonts w:ascii="Roboto" w:hAnsi="Roboto" w:eastAsia="Roboto"/>
          <w:b/>
          <w:color w:val="5B6472"/>
          <w:sz w:val="18"/>
        </w:rPr>
        <w:t>Version 1.0  Statut Référence de conception  Septembre 2026</w:t>
      </w:r>
    </w:p>
    <w:p>
      <w:r>
        <w:br w:type="page"/>
      </w:r>
    </w:p>
    <w:p>
      <w:pPr>
        <w:pStyle w:val="Heading1"/>
      </w:pPr>
      <w:r>
        <w:rPr>
          <w:rFonts w:ascii="Montserrat" w:hAnsi="Montserrat" w:eastAsia="Montserrat"/>
          <w:b/>
          <w:color w:val="000000"/>
          <w:sz w:val="38"/>
        </w:rPr>
        <w:t>Fiche de contrôle documentaire</w:t>
      </w:r>
    </w:p>
    <w:tbl>
      <w:tblPr>
        <w:tblW w:type="auto" w:w="0"/>
        <w:jc w:val="center"/>
        <w:tblLayout w:type="fixed"/>
        <w:tblLook w:firstColumn="1" w:firstRow="1" w:lastColumn="0" w:lastRow="0" w:noHBand="0" w:noVBand="1" w:val="04A0"/>
      </w:tblPr>
      <w:tblGrid>
        <w:gridCol w:w="5083"/>
        <w:gridCol w:w="5083"/>
      </w:tblGrid>
      <w:tr>
        <w:trPr>
          <w:tblHeader/>
        </w:trPr>
        <w:tc>
          <w:tcPr>
            <w:tcW w:type="dxa" w:w="1800"/>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Champ</w:t>
            </w:r>
          </w:p>
        </w:tc>
        <w:tc>
          <w:tcPr>
            <w:tcW w:type="dxa" w:w="7704"/>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Valeur</w:t>
            </w:r>
          </w:p>
        </w:tc>
      </w:tr>
      <w:t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Référence</w:t>
            </w:r>
          </w:p>
        </w:tc>
        <w:tc>
          <w:tcPr>
            <w:tcW w:type="dxa" w:w="77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ENI-FOUNDATION-UX-012</w:t>
            </w:r>
          </w:p>
        </w:tc>
      </w:tr>
      <w:tr>
        <w:tc>
          <w:tcPr>
            <w:tcW w:type="dxa" w:w="180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Objet</w:t>
            </w:r>
          </w:p>
        </w:tc>
        <w:tc>
          <w:tcPr>
            <w:tcW w:type="dxa" w:w="770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Référence de construction des interfaces numériques</w:t>
            </w:r>
          </w:p>
        </w:tc>
      </w:tr>
      <w:t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Public</w:t>
            </w:r>
          </w:p>
        </w:tc>
        <w:tc>
          <w:tcPr>
            <w:tcW w:type="dxa" w:w="77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Produit, design, développement, qualité, sécurité et partenaires</w:t>
            </w:r>
          </w:p>
        </w:tc>
      </w:tr>
      <w:tr>
        <w:tc>
          <w:tcPr>
            <w:tcW w:type="dxa" w:w="180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Périmètre</w:t>
            </w:r>
          </w:p>
        </w:tc>
        <w:tc>
          <w:tcPr>
            <w:tcW w:type="dxa" w:w="770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Vision cible, responsive web et mobile, sans figer les écrans de production</w:t>
            </w:r>
          </w:p>
        </w:tc>
      </w:tr>
      <w:t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Documents liés</w:t>
            </w:r>
          </w:p>
        </w:tc>
        <w:tc>
          <w:tcPr>
            <w:tcW w:type="dxa" w:w="77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Cahier des charges, architecture, carte produit, stratégie de marque et table de vérité</w:t>
            </w:r>
          </w:p>
        </w:tc>
      </w:tr>
      <w:tr>
        <w:tc>
          <w:tcPr>
            <w:tcW w:type="dxa" w:w="180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Statut</w:t>
            </w:r>
          </w:p>
        </w:tc>
        <w:tc>
          <w:tcPr>
            <w:tcW w:type="dxa" w:w="770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Base de conception à valider par tests utilisateurs</w:t>
            </w:r>
          </w:p>
        </w:tc>
      </w:tr>
    </w:tbl>
    <w:p>
      <w:pPr>
        <w:spacing w:after="40"/>
      </w:pPr>
    </w:p>
    <w:p>
      <w:pPr>
        <w:pStyle w:val="Heading1"/>
      </w:pPr>
      <w:r>
        <w:rPr>
          <w:rFonts w:ascii="Montserrat" w:hAnsi="Montserrat" w:eastAsia="Montserrat"/>
          <w:b/>
          <w:color w:val="000000"/>
          <w:sz w:val="38"/>
        </w:rPr>
        <w:t>Résumé exécutif</w:t>
      </w:r>
    </w:p>
    <w:p>
      <w:r>
        <w:rPr>
          <w:rFonts w:ascii="Roboto" w:hAnsi="Roboto" w:eastAsia="Roboto"/>
          <w:sz w:val="20"/>
        </w:rPr>
        <w:t>Ce document transforme la vision de ENISTERE FOUNDATION en règles de conception directement utilisables. Il fixe un langage visuel, une hiérarchie typographique, des tokens, des composants et des comportements d’interface cohérents avec le produit final.</w:t>
      </w:r>
    </w:p>
    <w:p>
      <w:r>
        <w:rPr>
          <w:rFonts w:ascii="Roboto" w:hAnsi="Roboto" w:eastAsia="Roboto"/>
          <w:sz w:val="20"/>
        </w:rPr>
        <w:t>La direction proposée est technique, structurée et prospective. Elle répond au problème suivant : La production logicielle accélère, mais les besoins, décisions, standards, architectures, codes et preuves dérivent les uns des autres. L’interface doit donc réduire l’incertitude, rendre les responsabilités lisibles et préserver la frontière métier suivante : ENISTERE FOUNDATION ne remplace pas Git, les frameworks, la CI/CD, le cloud ou les outils de sécurité ; elle gouverne leur usage.</w:t>
      </w:r>
    </w:p>
    <w:p>
      <w:r>
        <w:rPr>
          <w:rFonts w:ascii="Roboto" w:hAnsi="Roboto" w:eastAsia="Roboto"/>
          <w:sz w:val="20"/>
        </w:rPr>
        <w:t>Les maquettes présentées ne sont pas des écrans contractuels. Elles matérialisent les décisions de structure, de densité, de hiérarchie et de comportement à éprouver ensuite par prototypage et tests utilisateurs.</w:t>
      </w:r>
    </w:p>
    <w:p>
      <w:pPr>
        <w:pStyle w:val="Heading1"/>
      </w:pPr>
      <w:r>
        <w:rPr>
          <w:rFonts w:ascii="Montserrat" w:hAnsi="Montserrat" w:eastAsia="Montserrat"/>
          <w:b/>
          <w:color w:val="000000"/>
          <w:sz w:val="38"/>
        </w:rPr>
        <w:t>Sommaire</w:t>
      </w:r>
    </w:p>
    <w:p>
      <w:pPr>
        <w:pStyle w:val="ListParagraph"/>
        <w:ind w:left="317" w:hanging="173"/>
      </w:pPr>
      <w:r>
        <w:rPr>
          <w:rFonts w:ascii="Roboto" w:hAnsi="Roboto" w:eastAsia="Roboto"/>
          <w:b/>
          <w:sz w:val="20"/>
        </w:rPr>
        <w:t xml:space="preserve">• </w:t>
      </w:r>
      <w:r>
        <w:rPr>
          <w:rFonts w:ascii="Roboto" w:hAnsi="Roboto" w:eastAsia="Roboto"/>
          <w:sz w:val="20"/>
        </w:rPr>
        <w:t>1 Intention et principes d’expérience</w:t>
      </w:r>
    </w:p>
    <w:p>
      <w:pPr>
        <w:pStyle w:val="ListParagraph"/>
        <w:ind w:left="317" w:hanging="173"/>
      </w:pPr>
      <w:r>
        <w:rPr>
          <w:rFonts w:ascii="Roboto" w:hAnsi="Roboto" w:eastAsia="Roboto"/>
          <w:b/>
          <w:sz w:val="20"/>
        </w:rPr>
        <w:t xml:space="preserve">• </w:t>
      </w:r>
      <w:r>
        <w:rPr>
          <w:rFonts w:ascii="Roboto" w:hAnsi="Roboto" w:eastAsia="Roboto"/>
          <w:sz w:val="20"/>
        </w:rPr>
        <w:t>2 Identité visuelle et palette</w:t>
      </w:r>
    </w:p>
    <w:p>
      <w:pPr>
        <w:pStyle w:val="ListParagraph"/>
        <w:ind w:left="317" w:hanging="173"/>
      </w:pPr>
      <w:r>
        <w:rPr>
          <w:rFonts w:ascii="Roboto" w:hAnsi="Roboto" w:eastAsia="Roboto"/>
          <w:b/>
          <w:sz w:val="20"/>
        </w:rPr>
        <w:t xml:space="preserve">• </w:t>
      </w:r>
      <w:r>
        <w:rPr>
          <w:rFonts w:ascii="Roboto" w:hAnsi="Roboto" w:eastAsia="Roboto"/>
          <w:sz w:val="20"/>
        </w:rPr>
        <w:t>3 Typographie</w:t>
      </w:r>
    </w:p>
    <w:p>
      <w:pPr>
        <w:pStyle w:val="ListParagraph"/>
        <w:ind w:left="317" w:hanging="173"/>
      </w:pPr>
      <w:r>
        <w:rPr>
          <w:rFonts w:ascii="Roboto" w:hAnsi="Roboto" w:eastAsia="Roboto"/>
          <w:b/>
          <w:sz w:val="20"/>
        </w:rPr>
        <w:t xml:space="preserve">• </w:t>
      </w:r>
      <w:r>
        <w:rPr>
          <w:rFonts w:ascii="Roboto" w:hAnsi="Roboto" w:eastAsia="Roboto"/>
          <w:sz w:val="20"/>
        </w:rPr>
        <w:t>4 Grille, espacements et responsive</w:t>
      </w:r>
    </w:p>
    <w:p>
      <w:pPr>
        <w:pStyle w:val="ListParagraph"/>
        <w:ind w:left="317" w:hanging="173"/>
      </w:pPr>
      <w:r>
        <w:rPr>
          <w:rFonts w:ascii="Roboto" w:hAnsi="Roboto" w:eastAsia="Roboto"/>
          <w:b/>
          <w:sz w:val="20"/>
        </w:rPr>
        <w:t xml:space="preserve">• </w:t>
      </w:r>
      <w:r>
        <w:rPr>
          <w:rFonts w:ascii="Roboto" w:hAnsi="Roboto" w:eastAsia="Roboto"/>
          <w:sz w:val="20"/>
        </w:rPr>
        <w:t>5 Iconographie, illustration et mouvement</w:t>
      </w:r>
    </w:p>
    <w:p>
      <w:pPr>
        <w:pStyle w:val="ListParagraph"/>
        <w:ind w:left="317" w:hanging="173"/>
      </w:pPr>
      <w:r>
        <w:rPr>
          <w:rFonts w:ascii="Roboto" w:hAnsi="Roboto" w:eastAsia="Roboto"/>
          <w:b/>
          <w:sz w:val="20"/>
        </w:rPr>
        <w:t xml:space="preserve">• </w:t>
      </w:r>
      <w:r>
        <w:rPr>
          <w:rFonts w:ascii="Roboto" w:hAnsi="Roboto" w:eastAsia="Roboto"/>
          <w:sz w:val="20"/>
        </w:rPr>
        <w:t>6 Composants fondamentaux</w:t>
      </w:r>
    </w:p>
    <w:p>
      <w:pPr>
        <w:pStyle w:val="ListParagraph"/>
        <w:ind w:left="317" w:hanging="173"/>
      </w:pPr>
      <w:r>
        <w:rPr>
          <w:rFonts w:ascii="Roboto" w:hAnsi="Roboto" w:eastAsia="Roboto"/>
          <w:b/>
          <w:sz w:val="20"/>
        </w:rPr>
        <w:t xml:space="preserve">• </w:t>
      </w:r>
      <w:r>
        <w:rPr>
          <w:rFonts w:ascii="Roboto" w:hAnsi="Roboto" w:eastAsia="Roboto"/>
          <w:sz w:val="20"/>
        </w:rPr>
        <w:t>7 Composants et règles métiers</w:t>
      </w:r>
    </w:p>
    <w:p>
      <w:pPr>
        <w:pStyle w:val="ListParagraph"/>
        <w:ind w:left="317" w:hanging="173"/>
      </w:pPr>
      <w:r>
        <w:rPr>
          <w:rFonts w:ascii="Roboto" w:hAnsi="Roboto" w:eastAsia="Roboto"/>
          <w:b/>
          <w:sz w:val="20"/>
        </w:rPr>
        <w:t xml:space="preserve">• </w:t>
      </w:r>
      <w:r>
        <w:rPr>
          <w:rFonts w:ascii="Roboto" w:hAnsi="Roboto" w:eastAsia="Roboto"/>
          <w:sz w:val="20"/>
        </w:rPr>
        <w:t>8 États, feedback et accessibilité</w:t>
      </w:r>
    </w:p>
    <w:p>
      <w:pPr>
        <w:pStyle w:val="ListParagraph"/>
        <w:ind w:left="317" w:hanging="173"/>
      </w:pPr>
      <w:r>
        <w:rPr>
          <w:rFonts w:ascii="Roboto" w:hAnsi="Roboto" w:eastAsia="Roboto"/>
          <w:b/>
          <w:sz w:val="20"/>
        </w:rPr>
        <w:t xml:space="preserve">• </w:t>
      </w:r>
      <w:r>
        <w:rPr>
          <w:rFonts w:ascii="Roboto" w:hAnsi="Roboto" w:eastAsia="Roboto"/>
          <w:sz w:val="20"/>
        </w:rPr>
        <w:t>9 Interfaces de référence</w:t>
      </w:r>
    </w:p>
    <w:p>
      <w:pPr>
        <w:pStyle w:val="ListParagraph"/>
        <w:ind w:left="317" w:hanging="173"/>
      </w:pPr>
      <w:r>
        <w:rPr>
          <w:rFonts w:ascii="Roboto" w:hAnsi="Roboto" w:eastAsia="Roboto"/>
          <w:b/>
          <w:sz w:val="20"/>
        </w:rPr>
        <w:t xml:space="preserve">• </w:t>
      </w:r>
      <w:r>
        <w:rPr>
          <w:rFonts w:ascii="Roboto" w:hAnsi="Roboto" w:eastAsia="Roboto"/>
          <w:sz w:val="20"/>
        </w:rPr>
        <w:t>10 Dérivation du logo, des pictogrammes et du loader</w:t>
      </w:r>
    </w:p>
    <w:p>
      <w:pPr>
        <w:pStyle w:val="ListParagraph"/>
        <w:ind w:left="317" w:hanging="173"/>
      </w:pPr>
      <w:r>
        <w:rPr>
          <w:rFonts w:ascii="Roboto" w:hAnsi="Roboto" w:eastAsia="Roboto"/>
          <w:b/>
          <w:sz w:val="20"/>
        </w:rPr>
        <w:t xml:space="preserve">• </w:t>
      </w:r>
      <w:r>
        <w:rPr>
          <w:rFonts w:ascii="Roboto" w:hAnsi="Roboto" w:eastAsia="Roboto"/>
          <w:sz w:val="20"/>
        </w:rPr>
        <w:t>11 Gouvernance et passage au développement</w:t>
      </w:r>
    </w:p>
    <w:p>
      <w:r>
        <w:br w:type="page"/>
      </w:r>
    </w:p>
    <w:p>
      <w:pPr>
        <w:pStyle w:val="Heading1"/>
      </w:pPr>
      <w:r>
        <w:rPr>
          <w:rFonts w:ascii="Montserrat" w:hAnsi="Montserrat" w:eastAsia="Montserrat"/>
          <w:b/>
          <w:color w:val="000000"/>
          <w:sz w:val="38"/>
        </w:rPr>
        <w:t>1 Intention et principes d’expérience</w:t>
      </w:r>
    </w:p>
    <w:p>
      <w:r>
        <w:rPr>
          <w:rFonts w:ascii="Roboto" w:hAnsi="Roboto" w:eastAsia="Roboto"/>
          <w:sz w:val="20"/>
        </w:rPr>
        <w:t>Préserver l’intention d’ingénierie du besoin jusqu’au système exploité. Cette intention guide les choix d’interface : une action n’est mise en avant que si elle aide l’utilisateur à comprendre la situation, agir au bon moment ou vérifier ce qui s’est réellement passé.</w:t>
      </w:r>
    </w:p>
    <w:p>
      <w:pPr>
        <w:pStyle w:val="Heading2"/>
      </w:pPr>
      <w:r>
        <w:rPr>
          <w:rFonts w:ascii="Montserrat" w:hAnsi="Montserrat" w:eastAsia="Montserrat"/>
          <w:b/>
          <w:color w:val="000000"/>
          <w:sz w:val="26"/>
        </w:rPr>
        <w:t>1.1 Publics et contextes d’usage</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2520"/>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Public</w:t>
            </w:r>
          </w:p>
        </w:tc>
        <w:tc>
          <w:tcPr>
            <w:tcW w:type="dxa" w:w="2880"/>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Besoin dominant</w:t>
            </w:r>
          </w:p>
        </w:tc>
        <w:tc>
          <w:tcPr>
            <w:tcW w:type="dxa" w:w="4320"/>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Conséquence de conception</w:t>
            </w:r>
          </w:p>
        </w:tc>
      </w:tr>
      <w:t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Directions techniques</w:t>
            </w:r>
          </w:p>
        </w:tc>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Comprendre et progresser</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Langage direct, prochaine action visible, assistance progressive</w:t>
            </w:r>
          </w:p>
        </w:tc>
      </w:tr>
      <w:tr>
        <w:tc>
          <w:tcPr>
            <w:tcW w:type="dxa" w:w="252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Architectes et équipes plateforme</w:t>
            </w:r>
          </w:p>
        </w:tc>
        <w:tc>
          <w:tcPr>
            <w:tcW w:type="dxa" w:w="288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Traiter et décider</w:t>
            </w:r>
          </w:p>
        </w:tc>
        <w:tc>
          <w:tcPr>
            <w:tcW w:type="dxa" w:w="432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Files de travail, filtres fiables, densité maîtrisée</w:t>
            </w:r>
          </w:p>
        </w:tc>
      </w:tr>
      <w:t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Équipes produit, ingénierie et conformité</w:t>
            </w:r>
          </w:p>
        </w:tc>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Contrôler et coordonner</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Vue transverse, preuves, historique et responsabilités</w:t>
            </w:r>
          </w:p>
        </w:tc>
      </w:tr>
    </w:tbl>
    <w:p>
      <w:pPr>
        <w:spacing w:after="40"/>
      </w:pPr>
    </w:p>
    <w:p>
      <w:pPr>
        <w:pStyle w:val="Heading2"/>
      </w:pPr>
      <w:r>
        <w:rPr>
          <w:rFonts w:ascii="Montserrat" w:hAnsi="Montserrat" w:eastAsia="Montserrat"/>
          <w:b/>
          <w:color w:val="000000"/>
          <w:sz w:val="26"/>
        </w:rPr>
        <w:t>1.2 Principes directeurs</w:t>
      </w:r>
    </w:p>
    <w:p>
      <w:pPr>
        <w:pStyle w:val="ListParagraph"/>
        <w:ind w:left="317" w:hanging="173"/>
      </w:pPr>
      <w:r>
        <w:rPr>
          <w:rFonts w:ascii="Roboto" w:hAnsi="Roboto" w:eastAsia="Roboto"/>
          <w:b/>
          <w:sz w:val="20"/>
        </w:rPr>
        <w:t xml:space="preserve">• </w:t>
      </w:r>
      <w:r>
        <w:rPr>
          <w:rFonts w:ascii="Roboto" w:hAnsi="Roboto" w:eastAsia="Roboto"/>
          <w:sz w:val="20"/>
        </w:rPr>
        <w:t>Clarté avant décoration : chaque élément visuel doit soutenir une décision ou une action.</w:t>
      </w:r>
    </w:p>
    <w:p>
      <w:pPr>
        <w:pStyle w:val="ListParagraph"/>
        <w:ind w:left="317" w:hanging="173"/>
      </w:pPr>
      <w:r>
        <w:rPr>
          <w:rFonts w:ascii="Roboto" w:hAnsi="Roboto" w:eastAsia="Roboto"/>
          <w:b/>
          <w:sz w:val="20"/>
        </w:rPr>
        <w:t xml:space="preserve">• </w:t>
      </w:r>
      <w:r>
        <w:rPr>
          <w:rFonts w:ascii="Roboto" w:hAnsi="Roboto" w:eastAsia="Roboto"/>
          <w:sz w:val="20"/>
        </w:rPr>
        <w:t>Progressivité : montrer d’abord l’essentiel, puis permettre d’ouvrir la preuve, l’historique ou le détail.</w:t>
      </w:r>
    </w:p>
    <w:p>
      <w:pPr>
        <w:pStyle w:val="ListParagraph"/>
        <w:ind w:left="317" w:hanging="173"/>
      </w:pPr>
      <w:r>
        <w:rPr>
          <w:rFonts w:ascii="Roboto" w:hAnsi="Roboto" w:eastAsia="Roboto"/>
          <w:b/>
          <w:sz w:val="20"/>
        </w:rPr>
        <w:t xml:space="preserve">• </w:t>
      </w:r>
      <w:r>
        <w:rPr>
          <w:rFonts w:ascii="Roboto" w:hAnsi="Roboto" w:eastAsia="Roboto"/>
          <w:sz w:val="20"/>
        </w:rPr>
        <w:t>Explicabilité : tout statut sensible doit indiquer sa source, sa date et la responsabilité associée.</w:t>
      </w:r>
    </w:p>
    <w:p>
      <w:pPr>
        <w:pStyle w:val="ListParagraph"/>
        <w:ind w:left="317" w:hanging="173"/>
      </w:pPr>
      <w:r>
        <w:rPr>
          <w:rFonts w:ascii="Roboto" w:hAnsi="Roboto" w:eastAsia="Roboto"/>
          <w:b/>
          <w:sz w:val="20"/>
        </w:rPr>
        <w:t xml:space="preserve">• </w:t>
      </w:r>
      <w:r>
        <w:rPr>
          <w:rFonts w:ascii="Roboto" w:hAnsi="Roboto" w:eastAsia="Roboto"/>
          <w:sz w:val="20"/>
        </w:rPr>
        <w:t>Continuité : conserver le contexte lors du passage d’un acteur, d’un canal ou d’un appareil à l’autre.</w:t>
      </w:r>
    </w:p>
    <w:p>
      <w:pPr>
        <w:pStyle w:val="ListParagraph"/>
        <w:ind w:left="317" w:hanging="173"/>
      </w:pPr>
      <w:r>
        <w:rPr>
          <w:rFonts w:ascii="Roboto" w:hAnsi="Roboto" w:eastAsia="Roboto"/>
          <w:b/>
          <w:sz w:val="20"/>
        </w:rPr>
        <w:t xml:space="preserve">• </w:t>
      </w:r>
      <w:r>
        <w:rPr>
          <w:rFonts w:ascii="Roboto" w:hAnsi="Roboto" w:eastAsia="Roboto"/>
          <w:sz w:val="20"/>
        </w:rPr>
        <w:t>Densité adaptée : compacte, adaptée aux écrans d’ingénierie.</w:t>
      </w:r>
    </w:p>
    <w:p>
      <w:r>
        <w:br w:type="page"/>
      </w:r>
    </w:p>
    <w:p>
      <w:pPr>
        <w:pStyle w:val="Heading1"/>
      </w:pPr>
      <w:r>
        <w:rPr>
          <w:rFonts w:ascii="Montserrat" w:hAnsi="Montserrat" w:eastAsia="Montserrat"/>
          <w:b/>
          <w:color w:val="000000"/>
          <w:sz w:val="38"/>
        </w:rPr>
        <w:t>2 Identité visuelle et palette</w:t>
      </w:r>
    </w:p>
    <w:p>
      <w:r>
        <w:rPr>
          <w:rFonts w:ascii="Roboto" w:hAnsi="Roboto" w:eastAsia="Roboto"/>
          <w:sz w:val="20"/>
        </w:rPr>
        <w:t>La palette traduit une présence technique, structurée et prospective sans transformer la couleur en information unique. Les couleurs de marque structurent l’identité ; les couleurs sémantiques restent réservées aux états et aux décisions.</w:t>
      </w:r>
    </w:p>
    <w:tbl>
      <w:tblPr>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2304"/>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5"/>
              </w:rPr>
              <w:t>Token</w:t>
            </w:r>
          </w:p>
        </w:tc>
        <w:tc>
          <w:tcPr>
            <w:tcW w:type="dxa" w:w="1296"/>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5"/>
              </w:rPr>
              <w:t>Valeur</w:t>
            </w:r>
          </w:p>
        </w:tc>
        <w:tc>
          <w:tcPr>
            <w:tcW w:type="dxa" w:w="4320"/>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5"/>
              </w:rPr>
              <w:t>Usage</w:t>
            </w:r>
          </w:p>
        </w:tc>
        <w:tc>
          <w:tcPr>
            <w:tcW w:type="dxa" w:w="1728"/>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5"/>
              </w:rPr>
              <w:t>Contraste indicatif</w:t>
            </w:r>
          </w:p>
        </w:tc>
      </w:tr>
      <w:t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brand.primary</w:t>
            </w:r>
          </w:p>
        </w:tc>
        <w:tc>
          <w:tcPr>
            <w:tcW w:type="dxa" w:w="1296"/>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color w:val="FFFFFF"/>
              </w:rPr>
            </w:r>
            <w:r>
              <w:rPr>
                <w:rFonts w:ascii="Roboto" w:hAnsi="Roboto" w:eastAsia="Roboto"/>
                <w:color w:val="FFFFFF"/>
                <w:sz w:val="15"/>
              </w:rPr>
              <w:t>#11102A</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Navigation, actions principales, repères forts</w:t>
            </w:r>
          </w:p>
        </w:tc>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18.6:1 sur blanc</w:t>
            </w:r>
          </w:p>
        </w:tc>
      </w:tr>
      <w:tr>
        <w:tc>
          <w:tcPr>
            <w:tcW w:type="dxa" w:w="230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brand.primary.hover</w:t>
            </w:r>
          </w:p>
        </w:tc>
        <w:tc>
          <w:tcPr>
            <w:tcW w:type="dxa" w:w="1296"/>
            <w:vAlign w:val="center"/>
            <w:shd w:fill="3231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color w:val="FFFFFF"/>
              </w:rPr>
            </w:r>
            <w:r>
              <w:rPr>
                <w:rFonts w:ascii="Roboto" w:hAnsi="Roboto" w:eastAsia="Roboto"/>
                <w:color w:val="FFFFFF"/>
                <w:sz w:val="15"/>
              </w:rPr>
              <w:t>#323148</w:t>
            </w:r>
          </w:p>
        </w:tc>
        <w:tc>
          <w:tcPr>
            <w:tcW w:type="dxa" w:w="432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Survol et interaction active</w:t>
            </w:r>
          </w:p>
        </w:tc>
        <w:tc>
          <w:tcPr>
            <w:tcW w:type="dxa" w:w="172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12.6:1 sur blanc</w:t>
            </w:r>
          </w:p>
        </w:tc>
      </w:tr>
      <w:t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brand.primary.subtle</w:t>
            </w:r>
          </w:p>
        </w:tc>
        <w:tc>
          <w:tcPr>
            <w:tcW w:type="dxa" w:w="1296"/>
            <w:vAlign w:val="center"/>
            <w:shd w:fill="E2E2E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color w:val="000000"/>
              </w:rPr>
            </w:r>
            <w:r>
              <w:rPr>
                <w:rFonts w:ascii="Roboto" w:hAnsi="Roboto" w:eastAsia="Roboto"/>
                <w:color w:val="000000"/>
                <w:sz w:val="15"/>
              </w:rPr>
              <w:t>#E2E2E5</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Sélection légère et fonds contextuels</w:t>
            </w:r>
          </w:p>
        </w:tc>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1.3:1 sur blanc</w:t>
            </w:r>
          </w:p>
        </w:tc>
      </w:tr>
      <w:tr>
        <w:tc>
          <w:tcPr>
            <w:tcW w:type="dxa" w:w="230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brand.accent</w:t>
            </w:r>
          </w:p>
        </w:tc>
        <w:tc>
          <w:tcPr>
            <w:tcW w:type="dxa" w:w="1296"/>
            <w:vAlign w:val="center"/>
            <w:shd w:fill="7C5C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color w:val="000000"/>
              </w:rPr>
            </w:r>
            <w:r>
              <w:rPr>
                <w:rFonts w:ascii="Roboto" w:hAnsi="Roboto" w:eastAsia="Roboto"/>
                <w:color w:val="000000"/>
                <w:sz w:val="15"/>
              </w:rPr>
              <w:t>#7C5CFC</w:t>
            </w:r>
          </w:p>
        </w:tc>
        <w:tc>
          <w:tcPr>
            <w:tcW w:type="dxa" w:w="432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Accent éditorial et progression</w:t>
            </w:r>
          </w:p>
        </w:tc>
        <w:tc>
          <w:tcPr>
            <w:tcW w:type="dxa" w:w="172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4.4:1 sur blanc</w:t>
            </w:r>
          </w:p>
        </w:tc>
      </w:tr>
      <w:t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brand.support</w:t>
            </w:r>
          </w:p>
        </w:tc>
        <w:tc>
          <w:tcPr>
            <w:tcW w:type="dxa" w:w="1296"/>
            <w:vAlign w:val="center"/>
            <w:shd w:fill="19C3D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color w:val="000000"/>
              </w:rPr>
            </w:r>
            <w:r>
              <w:rPr>
                <w:rFonts w:ascii="Roboto" w:hAnsi="Roboto" w:eastAsia="Roboto"/>
                <w:color w:val="000000"/>
                <w:sz w:val="15"/>
              </w:rPr>
              <w:t>#19C3D1</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Focus, données secondaires et illustration</w:t>
            </w:r>
          </w:p>
        </w:tc>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2.1:1 sur blanc</w:t>
            </w:r>
          </w:p>
        </w:tc>
      </w:tr>
      <w:tr>
        <w:tc>
          <w:tcPr>
            <w:tcW w:type="dxa" w:w="230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surface.canvas</w:t>
            </w:r>
          </w:p>
        </w:tc>
        <w:tc>
          <w:tcPr>
            <w:tcW w:type="dxa" w:w="1296"/>
            <w:vAlign w:val="center"/>
            <w:shd w:fill="F3F1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color w:val="000000"/>
              </w:rPr>
            </w:r>
            <w:r>
              <w:rPr>
                <w:rFonts w:ascii="Roboto" w:hAnsi="Roboto" w:eastAsia="Roboto"/>
                <w:color w:val="000000"/>
                <w:sz w:val="15"/>
              </w:rPr>
              <w:t>#F3F1FF</w:t>
            </w:r>
          </w:p>
        </w:tc>
        <w:tc>
          <w:tcPr>
            <w:tcW w:type="dxa" w:w="432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Fond général</w:t>
            </w:r>
          </w:p>
        </w:tc>
        <w:tc>
          <w:tcPr>
            <w:tcW w:type="dxa" w:w="172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1.1:1 sur blanc</w:t>
            </w:r>
          </w:p>
        </w:tc>
      </w:tr>
      <w:t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surface.default</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color w:val="000000"/>
              </w:rPr>
            </w:r>
            <w:r>
              <w:rPr>
                <w:rFonts w:ascii="Roboto" w:hAnsi="Roboto" w:eastAsia="Roboto"/>
                <w:color w:val="000000"/>
                <w:sz w:val="15"/>
              </w:rPr>
              <w:t>#FFFFFF</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Surface de contenu</w:t>
            </w:r>
          </w:p>
        </w:tc>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1.0:1 sur blanc</w:t>
            </w:r>
          </w:p>
        </w:tc>
      </w:tr>
      <w:tr>
        <w:tc>
          <w:tcPr>
            <w:tcW w:type="dxa" w:w="230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surface.raised</w:t>
            </w:r>
          </w:p>
        </w:tc>
        <w:tc>
          <w:tcPr>
            <w:tcW w:type="dxa" w:w="1296"/>
            <w:vAlign w:val="center"/>
            <w:shd w:fill="FAF9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color w:val="000000"/>
              </w:rPr>
            </w:r>
            <w:r>
              <w:rPr>
                <w:rFonts w:ascii="Roboto" w:hAnsi="Roboto" w:eastAsia="Roboto"/>
                <w:color w:val="000000"/>
                <w:sz w:val="15"/>
              </w:rPr>
              <w:t>#FAF9FF</w:t>
            </w:r>
          </w:p>
        </w:tc>
        <w:tc>
          <w:tcPr>
            <w:tcW w:type="dxa" w:w="432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Surface élevée</w:t>
            </w:r>
          </w:p>
        </w:tc>
        <w:tc>
          <w:tcPr>
            <w:tcW w:type="dxa" w:w="172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1.0:1 sur blanc</w:t>
            </w:r>
          </w:p>
        </w:tc>
      </w:tr>
      <w:t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text.primary</w:t>
            </w:r>
          </w:p>
        </w:tc>
        <w:tc>
          <w:tcPr>
            <w:tcW w:type="dxa" w:w="1296"/>
            <w:vAlign w:val="center"/>
            <w:shd w:fill="15171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color w:val="FFFFFF"/>
              </w:rPr>
            </w:r>
            <w:r>
              <w:rPr>
                <w:rFonts w:ascii="Roboto" w:hAnsi="Roboto" w:eastAsia="Roboto"/>
                <w:color w:val="FFFFFF"/>
                <w:sz w:val="15"/>
              </w:rPr>
              <w:t>#15171A</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Texte principal</w:t>
            </w:r>
          </w:p>
        </w:tc>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18.0:1 sur blanc</w:t>
            </w:r>
          </w:p>
        </w:tc>
      </w:tr>
      <w:tr>
        <w:tc>
          <w:tcPr>
            <w:tcW w:type="dxa" w:w="230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text.secondary</w:t>
            </w:r>
          </w:p>
        </w:tc>
        <w:tc>
          <w:tcPr>
            <w:tcW w:type="dxa" w:w="1296"/>
            <w:vAlign w:val="center"/>
            <w:shd w:fill="5B6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color w:val="FFFFFF"/>
              </w:rPr>
            </w:r>
            <w:r>
              <w:rPr>
                <w:rFonts w:ascii="Roboto" w:hAnsi="Roboto" w:eastAsia="Roboto"/>
                <w:color w:val="FFFFFF"/>
                <w:sz w:val="15"/>
              </w:rPr>
              <w:t>#5B6472</w:t>
            </w:r>
          </w:p>
        </w:tc>
        <w:tc>
          <w:tcPr>
            <w:tcW w:type="dxa" w:w="432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Texte secondaire</w:t>
            </w:r>
          </w:p>
        </w:tc>
        <w:tc>
          <w:tcPr>
            <w:tcW w:type="dxa" w:w="172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6.0:1 sur blanc</w:t>
            </w:r>
          </w:p>
        </w:tc>
      </w:tr>
      <w:t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border.default</w:t>
            </w:r>
          </w:p>
        </w:tc>
        <w:tc>
          <w:tcPr>
            <w:tcW w:type="dxa" w:w="1296"/>
            <w:vAlign w:val="center"/>
            <w:shd w:fill="D9DDE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color w:val="000000"/>
              </w:rPr>
            </w:r>
            <w:r>
              <w:rPr>
                <w:rFonts w:ascii="Roboto" w:hAnsi="Roboto" w:eastAsia="Roboto"/>
                <w:color w:val="000000"/>
                <w:sz w:val="15"/>
              </w:rPr>
              <w:t>#D9DDE3</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Séparateurs et contours</w:t>
            </w:r>
          </w:p>
        </w:tc>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1.4:1 sur blanc</w:t>
            </w:r>
          </w:p>
        </w:tc>
      </w:tr>
      <w:tr>
        <w:tc>
          <w:tcPr>
            <w:tcW w:type="dxa" w:w="230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status.success</w:t>
            </w:r>
          </w:p>
        </w:tc>
        <w:tc>
          <w:tcPr>
            <w:tcW w:type="dxa" w:w="1296"/>
            <w:vAlign w:val="center"/>
            <w:shd w:fill="1F7A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color w:val="FFFFFF"/>
              </w:rPr>
            </w:r>
            <w:r>
              <w:rPr>
                <w:rFonts w:ascii="Roboto" w:hAnsi="Roboto" w:eastAsia="Roboto"/>
                <w:color w:val="FFFFFF"/>
                <w:sz w:val="15"/>
              </w:rPr>
              <w:t>#1F7A55</w:t>
            </w:r>
          </w:p>
        </w:tc>
        <w:tc>
          <w:tcPr>
            <w:tcW w:type="dxa" w:w="432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État confirmé</w:t>
            </w:r>
          </w:p>
        </w:tc>
        <w:tc>
          <w:tcPr>
            <w:tcW w:type="dxa" w:w="172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5.3:1 sur blanc</w:t>
            </w:r>
          </w:p>
        </w:tc>
      </w:tr>
      <w:t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status.info</w:t>
            </w:r>
          </w:p>
        </w:tc>
        <w:tc>
          <w:tcPr>
            <w:tcW w:type="dxa" w:w="1296"/>
            <w:vAlign w:val="center"/>
            <w:shd w:fill="246BCE"/>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color w:val="FFFFFF"/>
              </w:rPr>
            </w:r>
            <w:r>
              <w:rPr>
                <w:rFonts w:ascii="Roboto" w:hAnsi="Roboto" w:eastAsia="Roboto"/>
                <w:color w:val="FFFFFF"/>
                <w:sz w:val="15"/>
              </w:rPr>
              <w:t>#246BCE</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Information et traitement en cours</w:t>
            </w:r>
          </w:p>
        </w:tc>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5.2:1 sur blanc</w:t>
            </w:r>
          </w:p>
        </w:tc>
      </w:tr>
      <w:tr>
        <w:tc>
          <w:tcPr>
            <w:tcW w:type="dxa" w:w="230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status.warning</w:t>
            </w:r>
          </w:p>
        </w:tc>
        <w:tc>
          <w:tcPr>
            <w:tcW w:type="dxa" w:w="1296"/>
            <w:vAlign w:val="center"/>
            <w:shd w:fill="B861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color w:val="000000"/>
              </w:rPr>
            </w:r>
            <w:r>
              <w:rPr>
                <w:rFonts w:ascii="Roboto" w:hAnsi="Roboto" w:eastAsia="Roboto"/>
                <w:color w:val="000000"/>
                <w:sz w:val="15"/>
              </w:rPr>
              <w:t>#B86100</w:t>
            </w:r>
          </w:p>
        </w:tc>
        <w:tc>
          <w:tcPr>
            <w:tcW w:type="dxa" w:w="432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Attention ou action requise</w:t>
            </w:r>
          </w:p>
        </w:tc>
        <w:tc>
          <w:tcPr>
            <w:tcW w:type="dxa" w:w="172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4.4:1 sur blanc</w:t>
            </w:r>
          </w:p>
        </w:tc>
      </w:tr>
      <w:t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status.danger</w:t>
            </w:r>
          </w:p>
        </w:tc>
        <w:tc>
          <w:tcPr>
            <w:tcW w:type="dxa" w:w="1296"/>
            <w:vAlign w:val="center"/>
            <w:shd w:fill="B53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color w:val="FFFFFF"/>
              </w:rPr>
            </w:r>
            <w:r>
              <w:rPr>
                <w:rFonts w:ascii="Roboto" w:hAnsi="Roboto" w:eastAsia="Roboto"/>
                <w:color w:val="FFFFFF"/>
                <w:sz w:val="15"/>
              </w:rPr>
              <w:t>#B53232</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Erreur, blocage ou risque critique</w:t>
            </w:r>
          </w:p>
        </w:tc>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6.1:1 sur blanc</w:t>
            </w:r>
          </w:p>
        </w:tc>
      </w:tr>
      <w:tr>
        <w:tc>
          <w:tcPr>
            <w:tcW w:type="dxa" w:w="230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focus.ring</w:t>
            </w:r>
          </w:p>
        </w:tc>
        <w:tc>
          <w:tcPr>
            <w:tcW w:type="dxa" w:w="1296"/>
            <w:vAlign w:val="center"/>
            <w:shd w:fill="19C3D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color w:val="000000"/>
              </w:rPr>
            </w:r>
            <w:r>
              <w:rPr>
                <w:rFonts w:ascii="Roboto" w:hAnsi="Roboto" w:eastAsia="Roboto"/>
                <w:color w:val="000000"/>
                <w:sz w:val="15"/>
              </w:rPr>
              <w:t>#19C3D1</w:t>
            </w:r>
          </w:p>
        </w:tc>
        <w:tc>
          <w:tcPr>
            <w:tcW w:type="dxa" w:w="432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Focus clavier</w:t>
            </w:r>
          </w:p>
        </w:tc>
        <w:tc>
          <w:tcPr>
            <w:tcW w:type="dxa" w:w="172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2.1:1 sur blanc</w:t>
            </w:r>
          </w:p>
        </w:tc>
      </w:tr>
    </w:tbl>
    <w:p>
      <w:pPr>
        <w:spacing w:after="40"/>
      </w:pPr>
    </w:p>
    <w:p>
      <w:pPr>
        <w:pStyle w:val="Heading2"/>
      </w:pPr>
      <w:r>
        <w:rPr>
          <w:rFonts w:ascii="Montserrat" w:hAnsi="Montserrat" w:eastAsia="Montserrat"/>
          <w:b/>
          <w:color w:val="000000"/>
          <w:sz w:val="26"/>
        </w:rPr>
        <w:t>2.1 Règles d’emploi</w:t>
      </w:r>
    </w:p>
    <w:p>
      <w:pPr>
        <w:pStyle w:val="ListParagraph"/>
        <w:ind w:left="317" w:hanging="173"/>
      </w:pPr>
      <w:r>
        <w:rPr>
          <w:rFonts w:ascii="Roboto" w:hAnsi="Roboto" w:eastAsia="Roboto"/>
          <w:b/>
          <w:sz w:val="20"/>
        </w:rPr>
        <w:t xml:space="preserve">• </w:t>
      </w:r>
      <w:r>
        <w:rPr>
          <w:rFonts w:ascii="Roboto" w:hAnsi="Roboto" w:eastAsia="Roboto"/>
          <w:sz w:val="20"/>
        </w:rPr>
        <w:t>Le texte courant utilise text.primary ou text.secondary, jamais une couleur de marque claire.</w:t>
      </w:r>
    </w:p>
    <w:p>
      <w:pPr>
        <w:pStyle w:val="ListParagraph"/>
        <w:ind w:left="317" w:hanging="173"/>
      </w:pPr>
      <w:r>
        <w:rPr>
          <w:rFonts w:ascii="Roboto" w:hAnsi="Roboto" w:eastAsia="Roboto"/>
          <w:b/>
          <w:sz w:val="20"/>
        </w:rPr>
        <w:t xml:space="preserve">• </w:t>
      </w:r>
      <w:r>
        <w:rPr>
          <w:rFonts w:ascii="Roboto" w:hAnsi="Roboto" w:eastAsia="Roboto"/>
          <w:sz w:val="20"/>
        </w:rPr>
        <w:t>Succès, information, attention et danger associent couleur, libellé et pictogramme.</w:t>
      </w:r>
    </w:p>
    <w:p>
      <w:pPr>
        <w:pStyle w:val="ListParagraph"/>
        <w:ind w:left="317" w:hanging="173"/>
      </w:pPr>
      <w:r>
        <w:rPr>
          <w:rFonts w:ascii="Roboto" w:hAnsi="Roboto" w:eastAsia="Roboto"/>
          <w:b/>
          <w:sz w:val="20"/>
        </w:rPr>
        <w:t xml:space="preserve">• </w:t>
      </w:r>
      <w:r>
        <w:rPr>
          <w:rFonts w:ascii="Roboto" w:hAnsi="Roboto" w:eastAsia="Roboto"/>
          <w:sz w:val="20"/>
        </w:rPr>
        <w:t>Le focus clavier reste visible sur toutes les surfaces et ne dépend pas du survol.</w:t>
      </w:r>
    </w:p>
    <w:p>
      <w:pPr>
        <w:pStyle w:val="ListParagraph"/>
        <w:ind w:left="317" w:hanging="173"/>
      </w:pPr>
      <w:r>
        <w:rPr>
          <w:rFonts w:ascii="Roboto" w:hAnsi="Roboto" w:eastAsia="Roboto"/>
          <w:b/>
          <w:sz w:val="20"/>
        </w:rPr>
        <w:t xml:space="preserve">• </w:t>
      </w:r>
      <w:r>
        <w:rPr>
          <w:rFonts w:ascii="Roboto" w:hAnsi="Roboto" w:eastAsia="Roboto"/>
          <w:sz w:val="20"/>
        </w:rPr>
        <w:t>Le mode sombre n’est créé que pour les surfaces où il améliore réellement l’usage ; il ne résulte pas d’une inversion automatique.</w:t>
      </w:r>
    </w:p>
    <w:p>
      <w:r>
        <w:br w:type="page"/>
      </w:r>
    </w:p>
    <w:p>
      <w:pPr>
        <w:pStyle w:val="Heading1"/>
      </w:pPr>
      <w:r>
        <w:rPr>
          <w:rFonts w:ascii="Montserrat" w:hAnsi="Montserrat" w:eastAsia="Montserrat"/>
          <w:b/>
          <w:color w:val="000000"/>
          <w:sz w:val="38"/>
        </w:rPr>
        <w:t>3 Typographie</w:t>
      </w:r>
    </w:p>
    <w:p>
      <w:r>
        <w:rPr>
          <w:rFonts w:ascii="Roboto" w:hAnsi="Roboto" w:eastAsia="Roboto"/>
          <w:sz w:val="20"/>
        </w:rPr>
        <w:t>ENISTERE FOUNDATION utilise Montserrat pour la hiérarchie et Roboto pour la lecture fonctionnelle. Consolas est réservé aux identifiants, traces, mesures techniques ou données qui exigent un alignement stable.</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trPr>
        <w:tc>
          <w:tcPr>
            <w:tcW w:type="dxa" w:w="1944"/>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Rôle</w:t>
            </w:r>
          </w:p>
        </w:tc>
        <w:tc>
          <w:tcPr>
            <w:tcW w:type="dxa" w:w="2448"/>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Famille</w:t>
            </w:r>
          </w:p>
        </w:tc>
        <w:tc>
          <w:tcPr>
            <w:tcW w:type="dxa" w:w="1728"/>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Taille indicative</w:t>
            </w:r>
          </w:p>
        </w:tc>
        <w:tc>
          <w:tcPr>
            <w:tcW w:type="dxa" w:w="1440"/>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Graisse</w:t>
            </w:r>
          </w:p>
        </w:tc>
        <w:tc>
          <w:tcPr>
            <w:tcW w:type="dxa" w:w="1440"/>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Interligne</w:t>
            </w:r>
          </w:p>
        </w:tc>
      </w:tr>
      <w:t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Affichage XL</w:t>
            </w:r>
          </w:p>
        </w:tc>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Montserrat</w:t>
            </w:r>
          </w:p>
        </w:tc>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46 px</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Semi gras</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52 px</w:t>
            </w:r>
          </w:p>
        </w:tc>
      </w:tr>
      <w:tr>
        <w:tc>
          <w:tcPr>
            <w:tcW w:type="dxa" w:w="194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Titre de page</w:t>
            </w:r>
          </w:p>
        </w:tc>
        <w:tc>
          <w:tcPr>
            <w:tcW w:type="dxa" w:w="244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Montserrat</w:t>
            </w:r>
          </w:p>
        </w:tc>
        <w:tc>
          <w:tcPr>
            <w:tcW w:type="dxa" w:w="172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34 px</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Semi gras</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42 px</w:t>
            </w:r>
          </w:p>
        </w:tc>
      </w:tr>
      <w:t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Titre de section</w:t>
            </w:r>
          </w:p>
        </w:tc>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Montserrat</w:t>
            </w:r>
          </w:p>
        </w:tc>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26 px</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Semi gras</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34 px</w:t>
            </w:r>
          </w:p>
        </w:tc>
      </w:tr>
      <w:tr>
        <w:tc>
          <w:tcPr>
            <w:tcW w:type="dxa" w:w="194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Titre de composant</w:t>
            </w:r>
          </w:p>
        </w:tc>
        <w:tc>
          <w:tcPr>
            <w:tcW w:type="dxa" w:w="244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Roboto</w:t>
            </w:r>
          </w:p>
        </w:tc>
        <w:tc>
          <w:tcPr>
            <w:tcW w:type="dxa" w:w="172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16 px</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Gras</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24 px</w:t>
            </w:r>
          </w:p>
        </w:tc>
      </w:tr>
      <w:t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Corps</w:t>
            </w:r>
          </w:p>
        </w:tc>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Roboto</w:t>
            </w:r>
          </w:p>
        </w:tc>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16 px</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Normal</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24 px</w:t>
            </w:r>
          </w:p>
        </w:tc>
      </w:tr>
      <w:tr>
        <w:tc>
          <w:tcPr>
            <w:tcW w:type="dxa" w:w="194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Secondaire</w:t>
            </w:r>
          </w:p>
        </w:tc>
        <w:tc>
          <w:tcPr>
            <w:tcW w:type="dxa" w:w="244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Roboto</w:t>
            </w:r>
          </w:p>
        </w:tc>
        <w:tc>
          <w:tcPr>
            <w:tcW w:type="dxa" w:w="172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14 px</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Normal</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20 px</w:t>
            </w:r>
          </w:p>
        </w:tc>
      </w:tr>
      <w:t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Libellé compact</w:t>
            </w:r>
          </w:p>
        </w:tc>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Roboto</w:t>
            </w:r>
          </w:p>
        </w:tc>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12 px</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Gras</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16 px</w:t>
            </w:r>
          </w:p>
        </w:tc>
      </w:tr>
      <w:tr>
        <w:tc>
          <w:tcPr>
            <w:tcW w:type="dxa" w:w="194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Données techniques</w:t>
            </w:r>
          </w:p>
        </w:tc>
        <w:tc>
          <w:tcPr>
            <w:tcW w:type="dxa" w:w="244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Consolas</w:t>
            </w:r>
          </w:p>
        </w:tc>
        <w:tc>
          <w:tcPr>
            <w:tcW w:type="dxa" w:w="172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13 px</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Normal</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20 px</w:t>
            </w:r>
          </w:p>
        </w:tc>
      </w:tr>
    </w:tbl>
    <w:p>
      <w:pPr>
        <w:spacing w:after="40"/>
      </w:pPr>
    </w:p>
    <w:p>
      <w:pPr>
        <w:pStyle w:val="Heading2"/>
      </w:pPr>
      <w:r>
        <w:rPr>
          <w:rFonts w:ascii="Montserrat" w:hAnsi="Montserrat" w:eastAsia="Montserrat"/>
          <w:b/>
          <w:color w:val="000000"/>
          <w:sz w:val="26"/>
        </w:rPr>
        <w:t>3.1 Règles typographiques</w:t>
      </w:r>
    </w:p>
    <w:p>
      <w:pPr>
        <w:pStyle w:val="ListParagraph"/>
        <w:ind w:left="317" w:hanging="173"/>
      </w:pPr>
      <w:r>
        <w:rPr>
          <w:rFonts w:ascii="Roboto" w:hAnsi="Roboto" w:eastAsia="Roboto"/>
          <w:b/>
          <w:sz w:val="20"/>
        </w:rPr>
        <w:t xml:space="preserve">• </w:t>
      </w:r>
      <w:r>
        <w:rPr>
          <w:rFonts w:ascii="Roboto" w:hAnsi="Roboto" w:eastAsia="Roboto"/>
          <w:sz w:val="20"/>
        </w:rPr>
        <w:t>Limiter l’interface à deux familles principales et une famille monospace fonctionnelle.</w:t>
      </w:r>
    </w:p>
    <w:p>
      <w:pPr>
        <w:pStyle w:val="ListParagraph"/>
        <w:ind w:left="317" w:hanging="173"/>
      </w:pPr>
      <w:r>
        <w:rPr>
          <w:rFonts w:ascii="Roboto" w:hAnsi="Roboto" w:eastAsia="Roboto"/>
          <w:b/>
          <w:sz w:val="20"/>
        </w:rPr>
        <w:t xml:space="preserve">• </w:t>
      </w:r>
      <w:r>
        <w:rPr>
          <w:rFonts w:ascii="Roboto" w:hAnsi="Roboto" w:eastAsia="Roboto"/>
          <w:sz w:val="20"/>
        </w:rPr>
        <w:t>Conserver les accents français, les espaces insécables avant les doubles ponctuations et des libellés en casse phrase.</w:t>
      </w:r>
    </w:p>
    <w:p>
      <w:pPr>
        <w:pStyle w:val="ListParagraph"/>
        <w:ind w:left="317" w:hanging="173"/>
      </w:pPr>
      <w:r>
        <w:rPr>
          <w:rFonts w:ascii="Roboto" w:hAnsi="Roboto" w:eastAsia="Roboto"/>
          <w:b/>
          <w:sz w:val="20"/>
        </w:rPr>
        <w:t xml:space="preserve">• </w:t>
      </w:r>
      <w:r>
        <w:rPr>
          <w:rFonts w:ascii="Roboto" w:hAnsi="Roboto" w:eastAsia="Roboto"/>
          <w:sz w:val="20"/>
        </w:rPr>
        <w:t>Éviter les capitales longues ; elles restent réservées aux codes courts ou catégories très stables.</w:t>
      </w:r>
    </w:p>
    <w:p>
      <w:pPr>
        <w:pStyle w:val="ListParagraph"/>
        <w:ind w:left="317" w:hanging="173"/>
      </w:pPr>
      <w:r>
        <w:rPr>
          <w:rFonts w:ascii="Roboto" w:hAnsi="Roboto" w:eastAsia="Roboto"/>
          <w:b/>
          <w:sz w:val="20"/>
        </w:rPr>
        <w:t xml:space="preserve">• </w:t>
      </w:r>
      <w:r>
        <w:rPr>
          <w:rFonts w:ascii="Roboto" w:hAnsi="Roboto" w:eastAsia="Roboto"/>
          <w:sz w:val="20"/>
        </w:rPr>
        <w:t>Afficher les nombres tabulaires dans les tableaux financiers, opérationnels ou chronologiques.</w:t>
      </w:r>
    </w:p>
    <w:p>
      <w:pPr>
        <w:pStyle w:val="ListParagraph"/>
        <w:ind w:left="317" w:hanging="173"/>
      </w:pPr>
      <w:r>
        <w:rPr>
          <w:rFonts w:ascii="Roboto" w:hAnsi="Roboto" w:eastAsia="Roboto"/>
          <w:b/>
          <w:sz w:val="20"/>
        </w:rPr>
        <w:t xml:space="preserve">• </w:t>
      </w:r>
      <w:r>
        <w:rPr>
          <w:rFonts w:ascii="Roboto" w:hAnsi="Roboto" w:eastAsia="Roboto"/>
          <w:sz w:val="20"/>
        </w:rPr>
        <w:t>Polices de remplacement : Montserrat, Segoe UI, Arial pour l’affichage ; Roboto, Segoe UI, Arial pour le corps.</w:t>
      </w:r>
    </w:p>
    <w:p>
      <w:r>
        <w:br w:type="page"/>
      </w:r>
    </w:p>
    <w:p>
      <w:pPr>
        <w:pStyle w:val="Heading1"/>
      </w:pPr>
      <w:r>
        <w:rPr>
          <w:rFonts w:ascii="Montserrat" w:hAnsi="Montserrat" w:eastAsia="Montserrat"/>
          <w:b/>
          <w:color w:val="000000"/>
          <w:sz w:val="38"/>
        </w:rPr>
        <w:t>4 Grille espacements et responsive</w:t>
      </w:r>
    </w:p>
    <w:p>
      <w:r>
        <w:rPr>
          <w:rFonts w:ascii="Roboto" w:hAnsi="Roboto" w:eastAsia="Roboto"/>
          <w:sz w:val="20"/>
        </w:rPr>
        <w:t>La grille donne un rythme stable aux écrans sans imposer une composition identique. Les pages d’analyse, les files de travail et les parcours mobiles peuvent utiliser des patrons différents tant qu’ils respectent les mêmes tokens.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trPr>
        <w:tc>
          <w:tcPr>
            <w:tcW w:type="dxa" w:w="1728"/>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Contexte</w:t>
            </w:r>
          </w:p>
        </w:tc>
        <w:tc>
          <w:tcPr>
            <w:tcW w:type="dxa" w:w="1296"/>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Colonnes</w:t>
            </w:r>
          </w:p>
        </w:tc>
        <w:tc>
          <w:tcPr>
            <w:tcW w:type="dxa" w:w="1440"/>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Gouttière</w:t>
            </w:r>
          </w:p>
        </w:tc>
        <w:tc>
          <w:tcPr>
            <w:tcW w:type="dxa" w:w="1440"/>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Marge</w:t>
            </w:r>
          </w:p>
        </w:tc>
        <w:tc>
          <w:tcPr>
            <w:tcW w:type="dxa" w:w="4032"/>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Usage</w:t>
            </w:r>
          </w:p>
        </w:tc>
      </w:tr>
      <w:tr>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Mobile</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4</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16 px</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16 px</w:t>
            </w:r>
          </w:p>
        </w:tc>
        <w:tc>
          <w:tcPr>
            <w:tcW w:type="dxa" w:w="40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Action essentielle et consultation</w:t>
            </w:r>
          </w:p>
        </w:tc>
      </w:tr>
      <w:tr>
        <w:tc>
          <w:tcPr>
            <w:tcW w:type="dxa" w:w="172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Tablette</w:t>
            </w:r>
          </w:p>
        </w:tc>
        <w:tc>
          <w:tcPr>
            <w:tcW w:type="dxa" w:w="1296"/>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8</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20 px</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24 px</w:t>
            </w:r>
          </w:p>
        </w:tc>
        <w:tc>
          <w:tcPr>
            <w:tcW w:type="dxa" w:w="403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Terrain, revue et saisie</w:t>
            </w:r>
          </w:p>
        </w:tc>
      </w:tr>
      <w:tr>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Desktop</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12</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24 px</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32 px</w:t>
            </w:r>
          </w:p>
        </w:tc>
        <w:tc>
          <w:tcPr>
            <w:tcW w:type="dxa" w:w="40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Dossiers et opérations</w:t>
            </w:r>
          </w:p>
        </w:tc>
      </w:tr>
      <w:tr>
        <w:tc>
          <w:tcPr>
            <w:tcW w:type="dxa" w:w="172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Large</w:t>
            </w:r>
          </w:p>
        </w:tc>
        <w:tc>
          <w:tcPr>
            <w:tcW w:type="dxa" w:w="1296"/>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12</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32 px</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Auto</w:t>
            </w:r>
          </w:p>
        </w:tc>
        <w:tc>
          <w:tcPr>
            <w:tcW w:type="dxa" w:w="403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Cockpits limités à 1 440 px</w:t>
            </w:r>
          </w:p>
        </w:tc>
      </w:tr>
    </w:tbl>
    <w:p>
      <w:pPr>
        <w:spacing w:after="40"/>
      </w:pPr>
    </w:p>
    <w:p>
      <w:pPr>
        <w:pStyle w:val="Heading2"/>
      </w:pPr>
      <w:r>
        <w:rPr>
          <w:rFonts w:ascii="Montserrat" w:hAnsi="Montserrat" w:eastAsia="Montserrat"/>
          <w:b/>
          <w:color w:val="000000"/>
          <w:sz w:val="26"/>
        </w:rPr>
        <w:t>4.1 Échelle d’espacement</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1872"/>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Token</w:t>
            </w:r>
          </w:p>
        </w:tc>
        <w:tc>
          <w:tcPr>
            <w:tcW w:type="dxa" w:w="1440"/>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Valeur</w:t>
            </w:r>
          </w:p>
        </w:tc>
        <w:tc>
          <w:tcPr>
            <w:tcW w:type="dxa" w:w="5760"/>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Usage principal</w:t>
            </w:r>
          </w:p>
        </w:tc>
      </w:tr>
      <w:tr>
        <w:tc>
          <w:tcPr>
            <w:tcW w:type="dxa" w:w="18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space.050</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4 px</w:t>
            </w:r>
          </w:p>
        </w:tc>
        <w:tc>
          <w:tcPr>
            <w:tcW w:type="dxa" w:w="57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Écart interne minimal</w:t>
            </w:r>
          </w:p>
        </w:tc>
      </w:tr>
      <w:tr>
        <w:tc>
          <w:tcPr>
            <w:tcW w:type="dxa" w:w="187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space.100</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8 px</w:t>
            </w:r>
          </w:p>
        </w:tc>
        <w:tc>
          <w:tcPr>
            <w:tcW w:type="dxa" w:w="576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Icône et libellé</w:t>
            </w:r>
          </w:p>
        </w:tc>
      </w:tr>
      <w:tr>
        <w:tc>
          <w:tcPr>
            <w:tcW w:type="dxa" w:w="18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space.150</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12 px</w:t>
            </w:r>
          </w:p>
        </w:tc>
        <w:tc>
          <w:tcPr>
            <w:tcW w:type="dxa" w:w="57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Contenu compact</w:t>
            </w:r>
          </w:p>
        </w:tc>
      </w:tr>
      <w:tr>
        <w:tc>
          <w:tcPr>
            <w:tcW w:type="dxa" w:w="187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space.200</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16 px</w:t>
            </w:r>
          </w:p>
        </w:tc>
        <w:tc>
          <w:tcPr>
            <w:tcW w:type="dxa" w:w="576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Padding mobile et cartes</w:t>
            </w:r>
          </w:p>
        </w:tc>
      </w:tr>
      <w:tr>
        <w:tc>
          <w:tcPr>
            <w:tcW w:type="dxa" w:w="18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space.300</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24 px</w:t>
            </w:r>
          </w:p>
        </w:tc>
        <w:tc>
          <w:tcPr>
            <w:tcW w:type="dxa" w:w="57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Gouttières et groupes</w:t>
            </w:r>
          </w:p>
        </w:tc>
      </w:tr>
      <w:tr>
        <w:tc>
          <w:tcPr>
            <w:tcW w:type="dxa" w:w="187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space.400</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32 px</w:t>
            </w:r>
          </w:p>
        </w:tc>
        <w:tc>
          <w:tcPr>
            <w:tcW w:type="dxa" w:w="576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Sections d’écran</w:t>
            </w:r>
          </w:p>
        </w:tc>
      </w:tr>
      <w:tr>
        <w:tc>
          <w:tcPr>
            <w:tcW w:type="dxa" w:w="18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space.600</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48 px</w:t>
            </w:r>
          </w:p>
        </w:tc>
        <w:tc>
          <w:tcPr>
            <w:tcW w:type="dxa" w:w="57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Rupture majeure</w:t>
            </w:r>
          </w:p>
        </w:tc>
      </w:tr>
      <w:tr>
        <w:tc>
          <w:tcPr>
            <w:tcW w:type="dxa" w:w="187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space.800</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64 px</w:t>
            </w:r>
          </w:p>
        </w:tc>
        <w:tc>
          <w:tcPr>
            <w:tcW w:type="dxa" w:w="576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Respiration éditoriale</w:t>
            </w:r>
          </w:p>
        </w:tc>
      </w:tr>
    </w:tbl>
    <w:p>
      <w:pPr>
        <w:spacing w:after="40"/>
      </w:pPr>
    </w:p>
    <w:p>
      <w:r>
        <w:rPr>
          <w:rFonts w:ascii="Roboto" w:hAnsi="Roboto" w:eastAsia="Roboto"/>
          <w:sz w:val="20"/>
        </w:rPr>
        <w:t>Les coins utilisent un rayon principal de 4 px. Les boutons pilule sont réservés aux filtres et statuts courts ; ils ne doivent pas uniformiser toutes les surfaces.</w:t>
      </w:r>
    </w:p>
    <w:p>
      <w:r>
        <w:br w:type="page"/>
      </w:r>
    </w:p>
    <w:p>
      <w:pPr>
        <w:pStyle w:val="Heading1"/>
      </w:pPr>
      <w:r>
        <w:rPr>
          <w:rFonts w:ascii="Montserrat" w:hAnsi="Montserrat" w:eastAsia="Montserrat"/>
          <w:b/>
          <w:color w:val="000000"/>
          <w:sz w:val="38"/>
        </w:rPr>
        <w:t>5 Iconographie illustration et mouvement</w:t>
      </w:r>
    </w:p>
    <w:p>
      <w:r>
        <w:rPr>
          <w:rFonts w:ascii="Roboto" w:hAnsi="Roboto" w:eastAsia="Roboto"/>
          <w:sz w:val="20"/>
        </w:rPr>
        <w:t>Le langage iconographique repose sur géométrie modulaire, grille stricte, traits monospaces. Le motif directeur est « Nœuds reliés entre intention, décision, code et preuve ». Les pictogrammes servent d’abord au repérage et restent accompagnés d’un libellé lorsque l’action peut avoir une conséquence métier.</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1584"/>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Famille</w:t>
            </w:r>
          </w:p>
        </w:tc>
        <w:tc>
          <w:tcPr>
            <w:tcW w:type="dxa" w:w="2592"/>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Construction</w:t>
            </w:r>
          </w:p>
        </w:tc>
        <w:tc>
          <w:tcPr>
            <w:tcW w:type="dxa" w:w="4896"/>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7"/>
              </w:rPr>
              <w:t>Règle</w:t>
            </w:r>
          </w:p>
        </w:tc>
      </w:tr>
      <w:tr>
        <w:tc>
          <w:tcPr>
            <w:tcW w:type="dxa" w:w="15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Navigation</w:t>
            </w:r>
          </w:p>
        </w:tc>
        <w:tc>
          <w:tcPr>
            <w:tcW w:type="dxa" w:w="25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24 px, trait 1,75 px</w:t>
            </w:r>
          </w:p>
        </w:tc>
        <w:tc>
          <w:tcPr>
            <w:tcW w:type="dxa" w:w="48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Une métaphore stable par destination</w:t>
            </w:r>
          </w:p>
        </w:tc>
      </w:tr>
      <w:tr>
        <w:tc>
          <w:tcPr>
            <w:tcW w:type="dxa" w:w="158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Action</w:t>
            </w:r>
          </w:p>
        </w:tc>
        <w:tc>
          <w:tcPr>
            <w:tcW w:type="dxa" w:w="259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20 px, trait 1,75 px</w:t>
            </w:r>
          </w:p>
        </w:tc>
        <w:tc>
          <w:tcPr>
            <w:tcW w:type="dxa" w:w="4896"/>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Libellé obligatoire pour les actions sensibles</w:t>
            </w:r>
          </w:p>
        </w:tc>
      </w:tr>
      <w:tr>
        <w:tc>
          <w:tcPr>
            <w:tcW w:type="dxa" w:w="15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Statut</w:t>
            </w:r>
          </w:p>
        </w:tc>
        <w:tc>
          <w:tcPr>
            <w:tcW w:type="dxa" w:w="25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16 px, forme pleine</w:t>
            </w:r>
          </w:p>
        </w:tc>
        <w:tc>
          <w:tcPr>
            <w:tcW w:type="dxa" w:w="48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Toujours accompagné d’un texte</w:t>
            </w:r>
          </w:p>
        </w:tc>
      </w:tr>
      <w:tr>
        <w:tc>
          <w:tcPr>
            <w:tcW w:type="dxa" w:w="158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Métier</w:t>
            </w:r>
          </w:p>
        </w:tc>
        <w:tc>
          <w:tcPr>
            <w:tcW w:type="dxa" w:w="259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24 ou 32 px</w:t>
            </w:r>
          </w:p>
        </w:tc>
        <w:tc>
          <w:tcPr>
            <w:tcW w:type="dxa" w:w="4896"/>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Validé avec un expert du domaine</w:t>
            </w:r>
          </w:p>
        </w:tc>
      </w:tr>
      <w:tr>
        <w:tc>
          <w:tcPr>
            <w:tcW w:type="dxa" w:w="15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Illustration</w:t>
            </w:r>
          </w:p>
        </w:tc>
        <w:tc>
          <w:tcPr>
            <w:tcW w:type="dxa" w:w="25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Grille 8 px</w:t>
            </w:r>
          </w:p>
        </w:tc>
        <w:tc>
          <w:tcPr>
            <w:tcW w:type="dxa" w:w="48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7"/>
              </w:rPr>
              <w:t>Explique une situation sans simuler une preuve</w:t>
            </w:r>
          </w:p>
        </w:tc>
      </w:tr>
    </w:tbl>
    <w:p>
      <w:pPr>
        <w:spacing w:after="40"/>
      </w:pPr>
    </w:p>
    <w:p>
      <w:r>
        <w:rPr>
          <w:rFonts w:ascii="Roboto" w:hAnsi="Roboto" w:eastAsia="Roboto"/>
          <w:sz w:val="20"/>
        </w:rPr>
        <w:t>Le mouvement confirme une relation, une progression ou un changement d’état. Il ne retarde pas l’action et respecte le réglage de réduction des animations du système.</w:t>
      </w:r>
    </w:p>
    <w:p>
      <w:pPr>
        <w:keepNext/>
        <w:jc w:val="center"/>
      </w:pPr>
      <w:r>
        <w:drawing>
          <wp:inline xmlns:a="http://schemas.openxmlformats.org/drawingml/2006/main" xmlns:pic="http://schemas.openxmlformats.org/drawingml/2006/picture">
            <wp:extent cx="6400800" cy="1280160"/>
            <wp:docPr id="2" name="Picture 2" descr="Quatre états du concept de loader de ENISTERE FOUNDATION"/>
            <wp:cNvGraphicFramePr>
              <a:graphicFrameLocks noChangeAspect="1"/>
            </wp:cNvGraphicFramePr>
            <a:graphic>
              <a:graphicData uri="http://schemas.openxmlformats.org/drawingml/2006/picture">
                <pic:pic>
                  <pic:nvPicPr>
                    <pic:cNvPr id="0" name="loader-concept.png"/>
                    <pic:cNvPicPr/>
                  </pic:nvPicPr>
                  <pic:blipFill>
                    <a:blip r:embed="rId10"/>
                    <a:stretch>
                      <a:fillRect/>
                    </a:stretch>
                  </pic:blipFill>
                  <pic:spPr>
                    <a:xfrm>
                      <a:off x="0" y="0"/>
                      <a:ext cx="6400800" cy="1280160"/>
                    </a:xfrm>
                    <a:prstGeom prst="rect"/>
                  </pic:spPr>
                </pic:pic>
              </a:graphicData>
            </a:graphic>
          </wp:inline>
        </w:drawing>
      </w:r>
    </w:p>
    <w:p>
      <w:pPr>
        <w:pStyle w:val="Caption"/>
        <w:jc w:val="center"/>
      </w:pPr>
      <w:r>
        <w:rPr>
          <w:rFonts w:ascii="Roboto" w:hAnsi="Roboto" w:eastAsia="Roboto"/>
          <w:b w:val="0"/>
          <w:color w:val="5B6472"/>
          <w:sz w:val="17"/>
        </w:rPr>
        <w:t>Concept initial du loader</w:t>
      </w:r>
    </w:p>
    <w:p>
      <w:r>
        <w:br w:type="page"/>
      </w:r>
    </w:p>
    <w:p>
      <w:pPr>
        <w:pStyle w:val="Heading1"/>
      </w:pPr>
      <w:r>
        <w:rPr>
          <w:rFonts w:ascii="Montserrat" w:hAnsi="Montserrat" w:eastAsia="Montserrat"/>
          <w:b/>
          <w:color w:val="000000"/>
          <w:sz w:val="38"/>
        </w:rPr>
        <w:t>6 Composants fondamentaux</w:t>
      </w:r>
    </w:p>
    <w:p>
      <w:r>
        <w:rPr>
          <w:rFonts w:ascii="Roboto" w:hAnsi="Roboto" w:eastAsia="Roboto"/>
          <w:sz w:val="20"/>
        </w:rPr>
        <w:t>Les composants fondamentaux constituent la couche stable du produit. Chaque variante possède un usage, un état clavier, un comportement responsive et un critère d’acceptation.</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1728"/>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6"/>
              </w:rPr>
              <w:t>Composant</w:t>
            </w:r>
          </w:p>
        </w:tc>
        <w:tc>
          <w:tcPr>
            <w:tcW w:type="dxa" w:w="3024"/>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6"/>
              </w:rPr>
              <w:t>Variantes minimales</w:t>
            </w:r>
          </w:p>
        </w:tc>
        <w:tc>
          <w:tcPr>
            <w:tcW w:type="dxa" w:w="4608"/>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6"/>
              </w:rPr>
              <w:t>Comportement attendu</w:t>
            </w:r>
          </w:p>
        </w:tc>
      </w:tr>
      <w:tr>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Bouton</w:t>
            </w:r>
          </w:p>
        </w:tc>
        <w:tc>
          <w:tcPr>
            <w:tcW w:type="dxa" w:w="30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Principal, secondaire, discret, danger</w:t>
            </w:r>
          </w:p>
        </w:tc>
        <w:tc>
          <w:tcPr>
            <w:tcW w:type="dxa" w:w="460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Action unique, libellé explicite, état de chargement non bloquant</w:t>
            </w:r>
          </w:p>
        </w:tc>
      </w:tr>
      <w:tr>
        <w:tc>
          <w:tcPr>
            <w:tcW w:type="dxa" w:w="172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Champ</w:t>
            </w:r>
          </w:p>
        </w:tc>
        <w:tc>
          <w:tcPr>
            <w:tcW w:type="dxa" w:w="302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Texte, sélection, date, recherche</w:t>
            </w:r>
          </w:p>
        </w:tc>
        <w:tc>
          <w:tcPr>
            <w:tcW w:type="dxa" w:w="460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Libellé persistant, aide et erreur liées au champ</w:t>
            </w:r>
          </w:p>
        </w:tc>
      </w:tr>
      <w:tr>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Navigation</w:t>
            </w:r>
          </w:p>
        </w:tc>
        <w:tc>
          <w:tcPr>
            <w:tcW w:type="dxa" w:w="30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Latérale, supérieure, mobile</w:t>
            </w:r>
          </w:p>
        </w:tc>
        <w:tc>
          <w:tcPr>
            <w:tcW w:type="dxa" w:w="460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Position courante visible et retour prévisible</w:t>
            </w:r>
          </w:p>
        </w:tc>
      </w:tr>
      <w:tr>
        <w:tc>
          <w:tcPr>
            <w:tcW w:type="dxa" w:w="172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Carte</w:t>
            </w:r>
          </w:p>
        </w:tc>
        <w:tc>
          <w:tcPr>
            <w:tcW w:type="dxa" w:w="302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Résumé, action, alerte, média</w:t>
            </w:r>
          </w:p>
        </w:tc>
        <w:tc>
          <w:tcPr>
            <w:tcW w:type="dxa" w:w="460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Un seul objet ou une seule décision principale</w:t>
            </w:r>
          </w:p>
        </w:tc>
      </w:tr>
      <w:tr>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Tableau</w:t>
            </w:r>
          </w:p>
        </w:tc>
        <w:tc>
          <w:tcPr>
            <w:tcW w:type="dxa" w:w="30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Lecture, sélection, édition</w:t>
            </w:r>
          </w:p>
        </w:tc>
        <w:tc>
          <w:tcPr>
            <w:tcW w:type="dxa" w:w="460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Colonnes hiérarchisées, tri annoncé, vue mobile alternative</w:t>
            </w:r>
          </w:p>
        </w:tc>
      </w:tr>
      <w:tr>
        <w:tc>
          <w:tcPr>
            <w:tcW w:type="dxa" w:w="172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Dialogue</w:t>
            </w:r>
          </w:p>
        </w:tc>
        <w:tc>
          <w:tcPr>
            <w:tcW w:type="dxa" w:w="302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Confirmation, formulaire, détail</w:t>
            </w:r>
          </w:p>
        </w:tc>
        <w:tc>
          <w:tcPr>
            <w:tcW w:type="dxa" w:w="460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Focus piégé, fermeture explicite, aucun abandon silencieux</w:t>
            </w:r>
          </w:p>
        </w:tc>
      </w:tr>
      <w:tr>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Notification</w:t>
            </w:r>
          </w:p>
        </w:tc>
        <w:tc>
          <w:tcPr>
            <w:tcW w:type="dxa" w:w="30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Inline, toast, centre</w:t>
            </w:r>
          </w:p>
        </w:tc>
        <w:tc>
          <w:tcPr>
            <w:tcW w:type="dxa" w:w="460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Niveau, cause et action de résolution visibles</w:t>
            </w:r>
          </w:p>
        </w:tc>
      </w:tr>
      <w:tr>
        <w:tc>
          <w:tcPr>
            <w:tcW w:type="dxa" w:w="172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État vide</w:t>
            </w:r>
          </w:p>
        </w:tc>
        <w:tc>
          <w:tcPr>
            <w:tcW w:type="dxa" w:w="3024"/>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Initial, filtré, erreur</w:t>
            </w:r>
          </w:p>
        </w:tc>
        <w:tc>
          <w:tcPr>
            <w:tcW w:type="dxa" w:w="460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Explique la situation et propose la prochaine action</w:t>
            </w:r>
          </w:p>
        </w:tc>
      </w:tr>
    </w:tbl>
    <w:p>
      <w:pPr>
        <w:spacing w:after="40"/>
      </w:pPr>
    </w:p>
    <w:p>
      <w:pPr>
        <w:pStyle w:val="Heading2"/>
      </w:pPr>
      <w:r>
        <w:rPr>
          <w:rFonts w:ascii="Montserrat" w:hAnsi="Montserrat" w:eastAsia="Montserrat"/>
          <w:b/>
          <w:color w:val="000000"/>
          <w:sz w:val="26"/>
        </w:rPr>
        <w:t>6.1 États interactifs</w:t>
      </w:r>
    </w:p>
    <w:p>
      <w:pPr>
        <w:pStyle w:val="ListParagraph"/>
        <w:ind w:left="317" w:hanging="173"/>
      </w:pPr>
      <w:r>
        <w:rPr>
          <w:rFonts w:ascii="Roboto" w:hAnsi="Roboto" w:eastAsia="Roboto"/>
          <w:b/>
          <w:sz w:val="20"/>
        </w:rPr>
        <w:t xml:space="preserve">• </w:t>
      </w:r>
      <w:r>
        <w:rPr>
          <w:rFonts w:ascii="Roboto" w:hAnsi="Roboto" w:eastAsia="Roboto"/>
          <w:sz w:val="20"/>
        </w:rPr>
        <w:t>Par défaut : contraste complet et cible active.</w:t>
      </w:r>
    </w:p>
    <w:p>
      <w:pPr>
        <w:pStyle w:val="ListParagraph"/>
        <w:ind w:left="317" w:hanging="173"/>
      </w:pPr>
      <w:r>
        <w:rPr>
          <w:rFonts w:ascii="Roboto" w:hAnsi="Roboto" w:eastAsia="Roboto"/>
          <w:b/>
          <w:sz w:val="20"/>
        </w:rPr>
        <w:t xml:space="preserve">• </w:t>
      </w:r>
      <w:r>
        <w:rPr>
          <w:rFonts w:ascii="Roboto" w:hAnsi="Roboto" w:eastAsia="Roboto"/>
          <w:sz w:val="20"/>
        </w:rPr>
        <w:t>Survol : variation visuelle secondaire, jamais seule indication d’action.</w:t>
      </w:r>
    </w:p>
    <w:p>
      <w:pPr>
        <w:pStyle w:val="ListParagraph"/>
        <w:ind w:left="317" w:hanging="173"/>
      </w:pPr>
      <w:r>
        <w:rPr>
          <w:rFonts w:ascii="Roboto" w:hAnsi="Roboto" w:eastAsia="Roboto"/>
          <w:b/>
          <w:sz w:val="20"/>
        </w:rPr>
        <w:t xml:space="preserve">• </w:t>
      </w:r>
      <w:r>
        <w:rPr>
          <w:rFonts w:ascii="Roboto" w:hAnsi="Roboto" w:eastAsia="Roboto"/>
          <w:sz w:val="20"/>
        </w:rPr>
        <w:t>Focus : anneau de 2 px avec décalage de 2 px.</w:t>
      </w:r>
    </w:p>
    <w:p>
      <w:pPr>
        <w:pStyle w:val="ListParagraph"/>
        <w:ind w:left="317" w:hanging="173"/>
      </w:pPr>
      <w:r>
        <w:rPr>
          <w:rFonts w:ascii="Roboto" w:hAnsi="Roboto" w:eastAsia="Roboto"/>
          <w:b/>
          <w:sz w:val="20"/>
        </w:rPr>
        <w:t xml:space="preserve">• </w:t>
      </w:r>
      <w:r>
        <w:rPr>
          <w:rFonts w:ascii="Roboto" w:hAnsi="Roboto" w:eastAsia="Roboto"/>
          <w:sz w:val="20"/>
        </w:rPr>
        <w:t>Pressé : réduction visuelle légère sans déplacement du contenu.</w:t>
      </w:r>
    </w:p>
    <w:p>
      <w:pPr>
        <w:pStyle w:val="ListParagraph"/>
        <w:ind w:left="317" w:hanging="173"/>
      </w:pPr>
      <w:r>
        <w:rPr>
          <w:rFonts w:ascii="Roboto" w:hAnsi="Roboto" w:eastAsia="Roboto"/>
          <w:b/>
          <w:sz w:val="20"/>
        </w:rPr>
        <w:t xml:space="preserve">• </w:t>
      </w:r>
      <w:r>
        <w:rPr>
          <w:rFonts w:ascii="Roboto" w:hAnsi="Roboto" w:eastAsia="Roboto"/>
          <w:sz w:val="20"/>
        </w:rPr>
        <w:t>Désactivé : motif exceptionnel accompagné de la raison et, si possible, de la condition de déblocage.</w:t>
      </w:r>
    </w:p>
    <w:p>
      <w:pPr>
        <w:pStyle w:val="ListParagraph"/>
        <w:ind w:left="317" w:hanging="173"/>
      </w:pPr>
      <w:r>
        <w:rPr>
          <w:rFonts w:ascii="Roboto" w:hAnsi="Roboto" w:eastAsia="Roboto"/>
          <w:b/>
          <w:sz w:val="20"/>
        </w:rPr>
        <w:t xml:space="preserve">• </w:t>
      </w:r>
      <w:r>
        <w:rPr>
          <w:rFonts w:ascii="Roboto" w:hAnsi="Roboto" w:eastAsia="Roboto"/>
          <w:sz w:val="20"/>
        </w:rPr>
        <w:t>Chargement : conserver le libellé ou annoncer l’action en cours ; empêcher les doubles soumissions.</w:t>
      </w:r>
    </w:p>
    <w:p>
      <w:r>
        <w:br w:type="page"/>
      </w:r>
    </w:p>
    <w:p>
      <w:pPr>
        <w:pStyle w:val="Heading1"/>
      </w:pPr>
      <w:r>
        <w:rPr>
          <w:rFonts w:ascii="Montserrat" w:hAnsi="Montserrat" w:eastAsia="Montserrat"/>
          <w:b/>
          <w:color w:val="000000"/>
          <w:sz w:val="38"/>
        </w:rPr>
        <w:t>7 Composants et règles métiers</w:t>
      </w:r>
    </w:p>
    <w:p>
      <w:r>
        <w:rPr>
          <w:rFonts w:ascii="Roboto" w:hAnsi="Roboto" w:eastAsia="Roboto"/>
          <w:sz w:val="20"/>
        </w:rPr>
        <w:t>Les composants suivants traduisent les concepts propres à ENISTERE FOUNDATION. Ils ne doivent pas être réduits à des cartes génériques, car leur hiérarchie exprime des responsabilités, des preuves et des décisions différentes.</w:t>
      </w:r>
    </w:p>
    <w:tbl>
      <w:tblPr>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2088"/>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5"/>
              </w:rPr>
              <w:t>Composant métier</w:t>
            </w:r>
          </w:p>
        </w:tc>
        <w:tc>
          <w:tcPr>
            <w:tcW w:type="dxa" w:w="2232"/>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5"/>
              </w:rPr>
              <w:t>Moment du parcours</w:t>
            </w:r>
          </w:p>
        </w:tc>
        <w:tc>
          <w:tcPr>
            <w:tcW w:type="dxa" w:w="4320"/>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5"/>
              </w:rPr>
              <w:t>Règle essentielle</w:t>
            </w:r>
          </w:p>
        </w:tc>
        <w:tc>
          <w:tcPr>
            <w:tcW w:type="dxa" w:w="1440"/>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5"/>
              </w:rPr>
              <w:t>Supports</w:t>
            </w:r>
          </w:p>
        </w:tc>
      </w:tr>
      <w:t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Carte de décision</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Exprimer l’intention</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Toujours relier une décision à sa contrainte et à sa preuve</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Desktop et mobile</w:t>
            </w:r>
          </w:p>
        </w:tc>
      </w:tr>
      <w:tr>
        <w:tc>
          <w:tcPr>
            <w:tcW w:type="dxa" w:w="208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Graphe de dépendances</w:t>
            </w:r>
          </w:p>
        </w:tc>
        <w:tc>
          <w:tcPr>
            <w:tcW w:type="dxa" w:w="223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Décider et contraindre</w:t>
            </w:r>
          </w:p>
        </w:tc>
        <w:tc>
          <w:tcPr>
            <w:tcW w:type="dxa" w:w="432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Distinguer état déclaré et état observé</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Desktop et mobile</w:t>
            </w:r>
          </w:p>
        </w:tc>
      </w:tr>
      <w:t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Diff de contrainte</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Définir le système</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Réserver le code couleur critique aux violations actionnables</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Desktop et mobile</w:t>
            </w:r>
          </w:p>
        </w:tc>
      </w:tr>
      <w:tr>
        <w:tc>
          <w:tcPr>
            <w:tcW w:type="dxa" w:w="208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Gate de conformité</w:t>
            </w:r>
          </w:p>
        </w:tc>
        <w:tc>
          <w:tcPr>
            <w:tcW w:type="dxa" w:w="223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Produire et vérifier</w:t>
            </w:r>
          </w:p>
        </w:tc>
        <w:tc>
          <w:tcPr>
            <w:tcW w:type="dxa" w:w="432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Toujours relier une décision à sa contrainte et à sa preuve</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Desktop et mobile</w:t>
            </w:r>
          </w:p>
        </w:tc>
      </w:tr>
      <w:t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Preuve d’exécution</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Faire évoluer sans dérive</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Distinguer état déclaré et état observé</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Desktop et mobile</w:t>
            </w:r>
          </w:p>
        </w:tc>
      </w:tr>
      <w:tr>
        <w:tc>
          <w:tcPr>
            <w:tcW w:type="dxa" w:w="208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État observé</w:t>
            </w:r>
          </w:p>
        </w:tc>
        <w:tc>
          <w:tcPr>
            <w:tcW w:type="dxa" w:w="223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Exprimer l’intention</w:t>
            </w:r>
          </w:p>
        </w:tc>
        <w:tc>
          <w:tcPr>
            <w:tcW w:type="dxa" w:w="432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Réserver le code couleur critique aux violations actionnables</w:t>
            </w:r>
          </w:p>
        </w:tc>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5"/>
              </w:rPr>
              <w:t>Desktop et mobile</w:t>
            </w:r>
          </w:p>
        </w:tc>
      </w:tr>
    </w:tbl>
    <w:p>
      <w:pPr>
        <w:spacing w:after="40"/>
      </w:pPr>
    </w:p>
    <w:p>
      <w:pPr>
        <w:pStyle w:val="Heading2"/>
      </w:pPr>
      <w:r>
        <w:rPr>
          <w:rFonts w:ascii="Montserrat" w:hAnsi="Montserrat" w:eastAsia="Montserrat"/>
          <w:b/>
          <w:color w:val="000000"/>
          <w:sz w:val="26"/>
        </w:rPr>
        <w:t>7.1 Règles d’interface métier</w:t>
      </w:r>
    </w:p>
    <w:p>
      <w:pPr>
        <w:pStyle w:val="ListParagraph"/>
        <w:ind w:left="317" w:hanging="173"/>
      </w:pPr>
      <w:r>
        <w:rPr>
          <w:rFonts w:ascii="Roboto" w:hAnsi="Roboto" w:eastAsia="Roboto"/>
          <w:b/>
          <w:sz w:val="20"/>
        </w:rPr>
        <w:t xml:space="preserve">• </w:t>
      </w:r>
      <w:r>
        <w:rPr>
          <w:rFonts w:ascii="Roboto" w:hAnsi="Roboto" w:eastAsia="Roboto"/>
          <w:sz w:val="20"/>
        </w:rPr>
        <w:t>Toujours relier une décision à sa contrainte et à sa preuve</w:t>
      </w:r>
    </w:p>
    <w:p>
      <w:pPr>
        <w:pStyle w:val="ListParagraph"/>
        <w:ind w:left="317" w:hanging="173"/>
      </w:pPr>
      <w:r>
        <w:rPr>
          <w:rFonts w:ascii="Roboto" w:hAnsi="Roboto" w:eastAsia="Roboto"/>
          <w:b/>
          <w:sz w:val="20"/>
        </w:rPr>
        <w:t xml:space="preserve">• </w:t>
      </w:r>
      <w:r>
        <w:rPr>
          <w:rFonts w:ascii="Roboto" w:hAnsi="Roboto" w:eastAsia="Roboto"/>
          <w:sz w:val="20"/>
        </w:rPr>
        <w:t>Distinguer état déclaré et état observé</w:t>
      </w:r>
    </w:p>
    <w:p>
      <w:pPr>
        <w:pStyle w:val="ListParagraph"/>
        <w:ind w:left="317" w:hanging="173"/>
      </w:pPr>
      <w:r>
        <w:rPr>
          <w:rFonts w:ascii="Roboto" w:hAnsi="Roboto" w:eastAsia="Roboto"/>
          <w:b/>
          <w:sz w:val="20"/>
        </w:rPr>
        <w:t xml:space="preserve">• </w:t>
      </w:r>
      <w:r>
        <w:rPr>
          <w:rFonts w:ascii="Roboto" w:hAnsi="Roboto" w:eastAsia="Roboto"/>
          <w:sz w:val="20"/>
        </w:rPr>
        <w:t>Réserver le code couleur critique aux violations actionnables</w:t>
      </w:r>
    </w:p>
    <w:p>
      <w:pPr>
        <w:pStyle w:val="ListParagraph"/>
        <w:ind w:left="317" w:hanging="173"/>
      </w:pPr>
      <w:r>
        <w:rPr>
          <w:rFonts w:ascii="Roboto" w:hAnsi="Roboto" w:eastAsia="Roboto"/>
          <w:b/>
          <w:sz w:val="20"/>
        </w:rPr>
        <w:t xml:space="preserve">• </w:t>
      </w:r>
      <w:r>
        <w:rPr>
          <w:rFonts w:ascii="Roboto" w:hAnsi="Roboto" w:eastAsia="Roboto"/>
          <w:sz w:val="20"/>
        </w:rPr>
        <w:t>Toute action irréversible demande une confirmation qui nomme précisément son effet.</w:t>
      </w:r>
    </w:p>
    <w:p>
      <w:pPr>
        <w:pStyle w:val="ListParagraph"/>
        <w:ind w:left="317" w:hanging="173"/>
      </w:pPr>
      <w:r>
        <w:rPr>
          <w:rFonts w:ascii="Roboto" w:hAnsi="Roboto" w:eastAsia="Roboto"/>
          <w:b/>
          <w:sz w:val="20"/>
        </w:rPr>
        <w:t xml:space="preserve">• </w:t>
      </w:r>
      <w:r>
        <w:rPr>
          <w:rFonts w:ascii="Roboto" w:hAnsi="Roboto" w:eastAsia="Roboto"/>
          <w:sz w:val="20"/>
        </w:rPr>
        <w:t>L’historique conserve l’auteur, la date, la source et le motif d’une modification sensible.</w:t>
      </w:r>
    </w:p>
    <w:p>
      <w:pPr>
        <w:pStyle w:val="ListParagraph"/>
        <w:ind w:left="317" w:hanging="173"/>
      </w:pPr>
      <w:r>
        <w:rPr>
          <w:rFonts w:ascii="Roboto" w:hAnsi="Roboto" w:eastAsia="Roboto"/>
          <w:b/>
          <w:sz w:val="20"/>
        </w:rPr>
        <w:t xml:space="preserve">• </w:t>
      </w:r>
      <w:r>
        <w:rPr>
          <w:rFonts w:ascii="Roboto" w:hAnsi="Roboto" w:eastAsia="Roboto"/>
          <w:sz w:val="20"/>
        </w:rPr>
        <w:t>Les permissions indisponibles ne sont pas contournées par une simple dissimulation visuelle.</w:t>
      </w:r>
    </w:p>
    <w:p>
      <w:r>
        <w:br w:type="page"/>
      </w:r>
    </w:p>
    <w:p>
      <w:pPr>
        <w:pStyle w:val="Heading1"/>
      </w:pPr>
      <w:r>
        <w:rPr>
          <w:rFonts w:ascii="Montserrat" w:hAnsi="Montserrat" w:eastAsia="Montserrat"/>
          <w:b/>
          <w:color w:val="000000"/>
          <w:sz w:val="38"/>
        </w:rPr>
        <w:t>8 États feedback et accessibilité</w:t>
      </w:r>
    </w:p>
    <w:p>
      <w:r>
        <w:rPr>
          <w:rFonts w:ascii="Roboto" w:hAnsi="Roboto" w:eastAsia="Roboto"/>
          <w:sz w:val="20"/>
        </w:rPr>
        <w:t>Les états d’interface doivent expliquer ce qui s’est passé et ce que l’utilisateur peut faire ensuite. La couleur accélère la lecture mais le libellé, l’icône et le contexte portent le sens.</w:t>
      </w:r>
    </w:p>
    <w:tbl>
      <w:tblPr>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1440"/>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6"/>
              </w:rPr>
              <w:t>État</w:t>
            </w:r>
          </w:p>
        </w:tc>
        <w:tc>
          <w:tcPr>
            <w:tcW w:type="dxa" w:w="3168"/>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6"/>
              </w:rPr>
              <w:t>Message attendu</w:t>
            </w:r>
          </w:p>
        </w:tc>
        <w:tc>
          <w:tcPr>
            <w:tcW w:type="dxa" w:w="3312"/>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6"/>
              </w:rPr>
              <w:t>Action proposée</w:t>
            </w:r>
          </w:p>
        </w:tc>
        <w:tc>
          <w:tcPr>
            <w:tcW w:type="dxa" w:w="2160"/>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6"/>
              </w:rPr>
              <w:t>Annonce assistive</w:t>
            </w:r>
          </w:p>
        </w:tc>
      </w:tr>
      <w:tr>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Succès</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Résultat confirmé et daté</w:t>
            </w:r>
          </w:p>
        </w:tc>
        <w:tc>
          <w:tcPr>
            <w:tcW w:type="dxa" w:w="33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Continuer ou consulter la preuve</w:t>
            </w:r>
          </w:p>
        </w:tc>
        <w:tc>
          <w:tcPr>
            <w:tcW w:type="dxa" w:w="21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Confirmation polie</w:t>
            </w:r>
          </w:p>
        </w:tc>
      </w:tr>
      <w:tr>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Information</w:t>
            </w:r>
          </w:p>
        </w:tc>
        <w:tc>
          <w:tcPr>
            <w:tcW w:type="dxa" w:w="316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Traitement en cours ou contexte</w:t>
            </w:r>
          </w:p>
        </w:tc>
        <w:tc>
          <w:tcPr>
            <w:tcW w:type="dxa" w:w="331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Voir le détail si utile</w:t>
            </w:r>
          </w:p>
        </w:tc>
        <w:tc>
          <w:tcPr>
            <w:tcW w:type="dxa" w:w="216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Annonce non urgente</w:t>
            </w:r>
          </w:p>
        </w:tc>
      </w:tr>
      <w:tr>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Attention</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Élément incomplet ou échéance proche</w:t>
            </w:r>
          </w:p>
        </w:tc>
        <w:tc>
          <w:tcPr>
            <w:tcW w:type="dxa" w:w="33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Corriger, assigner ou reporter</w:t>
            </w:r>
          </w:p>
        </w:tc>
        <w:tc>
          <w:tcPr>
            <w:tcW w:type="dxa" w:w="21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Annonce explicite</w:t>
            </w:r>
          </w:p>
        </w:tc>
      </w:tr>
      <w:tr>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Danger</w:t>
            </w:r>
          </w:p>
        </w:tc>
        <w:tc>
          <w:tcPr>
            <w:tcW w:type="dxa" w:w="316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Blocage, erreur ou risque critique</w:t>
            </w:r>
          </w:p>
        </w:tc>
        <w:tc>
          <w:tcPr>
            <w:tcW w:type="dxa" w:w="331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Résoudre ou contacter le responsable</w:t>
            </w:r>
          </w:p>
        </w:tc>
        <w:tc>
          <w:tcPr>
            <w:tcW w:type="dxa" w:w="216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Alerte prioritaire</w:t>
            </w:r>
          </w:p>
        </w:tc>
      </w:tr>
      <w:tr>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Hors ligne</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Données locales et dernière synchronisation</w:t>
            </w:r>
          </w:p>
        </w:tc>
        <w:tc>
          <w:tcPr>
            <w:tcW w:type="dxa" w:w="33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Réessayer ou poursuivre localement</w:t>
            </w:r>
          </w:p>
        </w:tc>
        <w:tc>
          <w:tcPr>
            <w:tcW w:type="dxa" w:w="21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État de connectivité</w:t>
            </w:r>
          </w:p>
        </w:tc>
      </w:tr>
      <w:tr>
        <w:tc>
          <w:tcPr>
            <w:tcW w:type="dxa" w:w="144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Accès refusé</w:t>
            </w:r>
          </w:p>
        </w:tc>
        <w:tc>
          <w:tcPr>
            <w:tcW w:type="dxa" w:w="316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Rôle ou finalité insuffisante</w:t>
            </w:r>
          </w:p>
        </w:tc>
        <w:tc>
          <w:tcPr>
            <w:tcW w:type="dxa" w:w="331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Demander un accès si autorisé</w:t>
            </w:r>
          </w:p>
        </w:tc>
        <w:tc>
          <w:tcPr>
            <w:tcW w:type="dxa" w:w="216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Motif sans donnée sensible</w:t>
            </w:r>
          </w:p>
        </w:tc>
      </w:tr>
    </w:tbl>
    <w:p>
      <w:pPr>
        <w:spacing w:after="40"/>
      </w:pPr>
    </w:p>
    <w:p>
      <w:pPr>
        <w:pStyle w:val="Heading2"/>
      </w:pPr>
      <w:r>
        <w:rPr>
          <w:rFonts w:ascii="Montserrat" w:hAnsi="Montserrat" w:eastAsia="Montserrat"/>
          <w:b/>
          <w:color w:val="000000"/>
          <w:sz w:val="26"/>
        </w:rPr>
        <w:t>8.1 Critères d’accessibilité</w:t>
      </w:r>
    </w:p>
    <w:p>
      <w:pPr>
        <w:pStyle w:val="ListParagraph"/>
        <w:ind w:left="317" w:hanging="173"/>
      </w:pPr>
      <w:r>
        <w:rPr>
          <w:rFonts w:ascii="Roboto" w:hAnsi="Roboto" w:eastAsia="Roboto"/>
          <w:b/>
          <w:sz w:val="20"/>
        </w:rPr>
        <w:t xml:space="preserve">• </w:t>
      </w:r>
      <w:r>
        <w:rPr>
          <w:rFonts w:ascii="Roboto" w:hAnsi="Roboto" w:eastAsia="Roboto"/>
          <w:sz w:val="20"/>
        </w:rPr>
        <w:t>Contraste minimal de 4,5:1 pour le texte courant et de 3:1 pour les grands textes et composants graphiques essentiels.</w:t>
      </w:r>
    </w:p>
    <w:p>
      <w:pPr>
        <w:pStyle w:val="ListParagraph"/>
        <w:ind w:left="317" w:hanging="173"/>
      </w:pPr>
      <w:r>
        <w:rPr>
          <w:rFonts w:ascii="Roboto" w:hAnsi="Roboto" w:eastAsia="Roboto"/>
          <w:b/>
          <w:sz w:val="20"/>
        </w:rPr>
        <w:t xml:space="preserve">• </w:t>
      </w:r>
      <w:r>
        <w:rPr>
          <w:rFonts w:ascii="Roboto" w:hAnsi="Roboto" w:eastAsia="Roboto"/>
          <w:sz w:val="20"/>
        </w:rPr>
        <w:t>Ordre de focus cohérent, navigation clavier complète et cible tactile minimale de 44 par 44 px.</w:t>
      </w:r>
    </w:p>
    <w:p>
      <w:pPr>
        <w:pStyle w:val="ListParagraph"/>
        <w:ind w:left="317" w:hanging="173"/>
      </w:pPr>
      <w:r>
        <w:rPr>
          <w:rFonts w:ascii="Roboto" w:hAnsi="Roboto" w:eastAsia="Roboto"/>
          <w:b/>
          <w:sz w:val="20"/>
        </w:rPr>
        <w:t xml:space="preserve">• </w:t>
      </w:r>
      <w:r>
        <w:rPr>
          <w:rFonts w:ascii="Roboto" w:hAnsi="Roboto" w:eastAsia="Roboto"/>
          <w:sz w:val="20"/>
        </w:rPr>
        <w:t>Zoom à 200 % sans perte de contenu ni défilement horizontal pour les parcours principaux.</w:t>
      </w:r>
    </w:p>
    <w:p>
      <w:pPr>
        <w:pStyle w:val="ListParagraph"/>
        <w:ind w:left="317" w:hanging="173"/>
      </w:pPr>
      <w:r>
        <w:rPr>
          <w:rFonts w:ascii="Roboto" w:hAnsi="Roboto" w:eastAsia="Roboto"/>
          <w:b/>
          <w:sz w:val="20"/>
        </w:rPr>
        <w:t xml:space="preserve">• </w:t>
      </w:r>
      <w:r>
        <w:rPr>
          <w:rFonts w:ascii="Roboto" w:hAnsi="Roboto" w:eastAsia="Roboto"/>
          <w:sz w:val="20"/>
        </w:rPr>
        <w:t>Alternatives textuelles pour les images informatives et masquage des illustrations décoratives aux technologies d’assistance.</w:t>
      </w:r>
    </w:p>
    <w:p>
      <w:pPr>
        <w:pStyle w:val="ListParagraph"/>
        <w:ind w:left="317" w:hanging="173"/>
      </w:pPr>
      <w:r>
        <w:rPr>
          <w:rFonts w:ascii="Roboto" w:hAnsi="Roboto" w:eastAsia="Roboto"/>
          <w:b/>
          <w:sz w:val="20"/>
        </w:rPr>
        <w:t xml:space="preserve">• </w:t>
      </w:r>
      <w:r>
        <w:rPr>
          <w:rFonts w:ascii="Roboto" w:hAnsi="Roboto" w:eastAsia="Roboto"/>
          <w:sz w:val="20"/>
        </w:rPr>
        <w:t>Messages d’erreur reliés au champ, résumés en tête de formulaire et conservés après soumission.</w:t>
      </w:r>
    </w:p>
    <w:p>
      <w:pPr>
        <w:pStyle w:val="ListParagraph"/>
        <w:ind w:left="317" w:hanging="173"/>
      </w:pPr>
      <w:r>
        <w:rPr>
          <w:rFonts w:ascii="Roboto" w:hAnsi="Roboto" w:eastAsia="Roboto"/>
          <w:b/>
          <w:sz w:val="20"/>
        </w:rPr>
        <w:t xml:space="preserve">• </w:t>
      </w:r>
      <w:r>
        <w:rPr>
          <w:rFonts w:ascii="Roboto" w:hAnsi="Roboto" w:eastAsia="Roboto"/>
          <w:sz w:val="20"/>
        </w:rPr>
        <w:t>Respect de la réduction des animations, des préférences de contraste et de la taille de texte du système.</w:t>
      </w:r>
    </w:p>
    <w:p>
      <w:r>
        <w:br w:type="page"/>
      </w:r>
    </w:p>
    <w:p>
      <w:pPr>
        <w:pStyle w:val="Heading1"/>
      </w:pPr>
      <w:r>
        <w:rPr>
          <w:rFonts w:ascii="Montserrat" w:hAnsi="Montserrat" w:eastAsia="Montserrat"/>
          <w:b/>
          <w:color w:val="000000"/>
          <w:sz w:val="38"/>
        </w:rPr>
        <w:t>9 Interfaces de référence</w:t>
      </w:r>
    </w:p>
    <w:p>
      <w:r>
        <w:rPr>
          <w:rFonts w:ascii="Roboto" w:hAnsi="Roboto" w:eastAsia="Roboto"/>
          <w:sz w:val="20"/>
        </w:rPr>
        <w:t>Les trois interfaces suivantes couvrent workbench produit, console architecture, vue dépôt. Elles montrent comment la palette, la typographie, la densité et les composants métiers se combinent sans prétendre figer l’ensemble du produit.</w:t>
      </w:r>
    </w:p>
    <w:p>
      <w:pPr>
        <w:pStyle w:val="Heading2"/>
      </w:pPr>
      <w:r>
        <w:rPr>
          <w:rFonts w:ascii="Montserrat" w:hAnsi="Montserrat" w:eastAsia="Montserrat"/>
          <w:b/>
          <w:color w:val="000000"/>
          <w:sz w:val="26"/>
        </w:rPr>
        <w:t>9.1 Workbench d’intention</w:t>
      </w:r>
    </w:p>
    <w:p>
      <w:r>
        <w:rPr>
          <w:rFonts w:ascii="Roboto" w:hAnsi="Roboto" w:eastAsia="Roboto"/>
          <w:sz w:val="20"/>
        </w:rPr>
        <w:t>Cette proposition met l’accent sur carte de décision et graphe de dépendances. Le lecteur doit comprendre l’état courant, la responsabilité et la prochaine action sans ouvrir plusieurs vues.</w:t>
      </w:r>
    </w:p>
    <w:p>
      <w:pPr>
        <w:keepNext/>
        <w:jc w:val="center"/>
      </w:pPr>
      <w:r>
        <w:drawing>
          <wp:inline xmlns:a="http://schemas.openxmlformats.org/drawingml/2006/main" xmlns:pic="http://schemas.openxmlformats.org/drawingml/2006/picture">
            <wp:extent cx="6400800" cy="3600450"/>
            <wp:docPr id="3" name="Picture 3" descr="Maquette UX UI de Workbench d’intention pour ENISTERE FOUNDATION"/>
            <wp:cNvGraphicFramePr>
              <a:graphicFrameLocks noChangeAspect="1"/>
            </wp:cNvGraphicFramePr>
            <a:graphic>
              <a:graphicData uri="http://schemas.openxmlformats.org/drawingml/2006/picture">
                <pic:pic>
                  <pic:nvPicPr>
                    <pic:cNvPr id="0" name="mockup-01.png"/>
                    <pic:cNvPicPr/>
                  </pic:nvPicPr>
                  <pic:blipFill>
                    <a:blip r:embed="rId11"/>
                    <a:stretch>
                      <a:fillRect/>
                    </a:stretch>
                  </pic:blipFill>
                  <pic:spPr>
                    <a:xfrm>
                      <a:off x="0" y="0"/>
                      <a:ext cx="6400800" cy="3600450"/>
                    </a:xfrm>
                    <a:prstGeom prst="rect"/>
                  </pic:spPr>
                </pic:pic>
              </a:graphicData>
            </a:graphic>
          </wp:inline>
        </w:drawing>
      </w:r>
    </w:p>
    <w:p>
      <w:pPr>
        <w:pStyle w:val="Caption"/>
        <w:jc w:val="center"/>
      </w:pPr>
      <w:r>
        <w:rPr>
          <w:rFonts w:ascii="Roboto" w:hAnsi="Roboto" w:eastAsia="Roboto"/>
          <w:b w:val="0"/>
          <w:color w:val="5B6472"/>
          <w:sz w:val="17"/>
        </w:rPr>
        <w:t>Maquette initiale 1  Workbench d’intention</w:t>
      </w:r>
    </w:p>
    <w:p>
      <w:pPr>
        <w:pStyle w:val="Heading2"/>
      </w:pPr>
      <w:r>
        <w:rPr>
          <w:rFonts w:ascii="Montserrat" w:hAnsi="Montserrat" w:eastAsia="Montserrat"/>
          <w:b/>
          <w:color w:val="000000"/>
          <w:sz w:val="26"/>
        </w:rPr>
        <w:t>9.2 Contrôle de dérive</w:t>
      </w:r>
    </w:p>
    <w:p>
      <w:r>
        <w:rPr>
          <w:rFonts w:ascii="Roboto" w:hAnsi="Roboto" w:eastAsia="Roboto"/>
          <w:sz w:val="20"/>
        </w:rPr>
        <w:t>Cette proposition met l’accent sur diff de contrainte et gate de conformité. Le lecteur doit comprendre l’état courant, la responsabilité et la prochaine action sans ouvrir plusieurs vues.</w:t>
      </w:r>
    </w:p>
    <w:p>
      <w:pPr>
        <w:keepNext/>
        <w:jc w:val="center"/>
      </w:pPr>
      <w:r>
        <w:drawing>
          <wp:inline xmlns:a="http://schemas.openxmlformats.org/drawingml/2006/main" xmlns:pic="http://schemas.openxmlformats.org/drawingml/2006/picture">
            <wp:extent cx="6400800" cy="3600450"/>
            <wp:docPr id="4" name="Picture 4" descr="Maquette UX UI de Contrôle de dérive pour ENISTERE FOUNDATION"/>
            <wp:cNvGraphicFramePr>
              <a:graphicFrameLocks noChangeAspect="1"/>
            </wp:cNvGraphicFramePr>
            <a:graphic>
              <a:graphicData uri="http://schemas.openxmlformats.org/drawingml/2006/picture">
                <pic:pic>
                  <pic:nvPicPr>
                    <pic:cNvPr id="0" name="mockup-02.png"/>
                    <pic:cNvPicPr/>
                  </pic:nvPicPr>
                  <pic:blipFill>
                    <a:blip r:embed="rId12"/>
                    <a:stretch>
                      <a:fillRect/>
                    </a:stretch>
                  </pic:blipFill>
                  <pic:spPr>
                    <a:xfrm>
                      <a:off x="0" y="0"/>
                      <a:ext cx="6400800" cy="3600450"/>
                    </a:xfrm>
                    <a:prstGeom prst="rect"/>
                  </pic:spPr>
                </pic:pic>
              </a:graphicData>
            </a:graphic>
          </wp:inline>
        </w:drawing>
      </w:r>
    </w:p>
    <w:p>
      <w:pPr>
        <w:pStyle w:val="Caption"/>
        <w:jc w:val="center"/>
      </w:pPr>
      <w:r>
        <w:rPr>
          <w:rFonts w:ascii="Roboto" w:hAnsi="Roboto" w:eastAsia="Roboto"/>
          <w:b w:val="0"/>
          <w:color w:val="5B6472"/>
          <w:sz w:val="17"/>
        </w:rPr>
        <w:t>Maquette initiale 2  Contrôle de dérive</w:t>
      </w:r>
    </w:p>
    <w:p>
      <w:pPr>
        <w:pStyle w:val="Heading2"/>
      </w:pPr>
      <w:r>
        <w:rPr>
          <w:rFonts w:ascii="Montserrat" w:hAnsi="Montserrat" w:eastAsia="Montserrat"/>
          <w:b/>
          <w:color w:val="000000"/>
          <w:sz w:val="26"/>
        </w:rPr>
        <w:t>9.3 Chaîne de preuves</w:t>
      </w:r>
    </w:p>
    <w:p>
      <w:r>
        <w:rPr>
          <w:rFonts w:ascii="Roboto" w:hAnsi="Roboto" w:eastAsia="Roboto"/>
          <w:sz w:val="20"/>
        </w:rPr>
        <w:t>Cette proposition met l’accent sur preuve d’exécution et état observé. Le lecteur doit comprendre l’état courant, la responsabilité et la prochaine action sans ouvrir plusieurs vues.</w:t>
      </w:r>
    </w:p>
    <w:p>
      <w:pPr>
        <w:keepNext/>
        <w:jc w:val="center"/>
      </w:pPr>
      <w:r>
        <w:drawing>
          <wp:inline xmlns:a="http://schemas.openxmlformats.org/drawingml/2006/main" xmlns:pic="http://schemas.openxmlformats.org/drawingml/2006/picture">
            <wp:extent cx="6400800" cy="3600450"/>
            <wp:docPr id="5" name="Picture 5" descr="Maquette UX UI de Chaîne de preuves pour ENISTERE FOUNDATION"/>
            <wp:cNvGraphicFramePr>
              <a:graphicFrameLocks noChangeAspect="1"/>
            </wp:cNvGraphicFramePr>
            <a:graphic>
              <a:graphicData uri="http://schemas.openxmlformats.org/drawingml/2006/picture">
                <pic:pic>
                  <pic:nvPicPr>
                    <pic:cNvPr id="0" name="mockup-03.png"/>
                    <pic:cNvPicPr/>
                  </pic:nvPicPr>
                  <pic:blipFill>
                    <a:blip r:embed="rId13"/>
                    <a:stretch>
                      <a:fillRect/>
                    </a:stretch>
                  </pic:blipFill>
                  <pic:spPr>
                    <a:xfrm>
                      <a:off x="0" y="0"/>
                      <a:ext cx="6400800" cy="3600450"/>
                    </a:xfrm>
                    <a:prstGeom prst="rect"/>
                  </pic:spPr>
                </pic:pic>
              </a:graphicData>
            </a:graphic>
          </wp:inline>
        </w:drawing>
      </w:r>
    </w:p>
    <w:p>
      <w:pPr>
        <w:pStyle w:val="Caption"/>
        <w:jc w:val="center"/>
      </w:pPr>
      <w:r>
        <w:rPr>
          <w:rFonts w:ascii="Roboto" w:hAnsi="Roboto" w:eastAsia="Roboto"/>
          <w:b w:val="0"/>
          <w:color w:val="5B6472"/>
          <w:sz w:val="17"/>
        </w:rPr>
        <w:t>Maquette initiale 3  Chaîne de preuves</w:t>
      </w:r>
    </w:p>
    <w:p>
      <w:r>
        <w:br w:type="page"/>
      </w:r>
    </w:p>
    <w:p>
      <w:pPr>
        <w:pStyle w:val="Heading1"/>
      </w:pPr>
      <w:r>
        <w:rPr>
          <w:rFonts w:ascii="Montserrat" w:hAnsi="Montserrat" w:eastAsia="Montserrat"/>
          <w:b/>
          <w:color w:val="000000"/>
          <w:sz w:val="38"/>
        </w:rPr>
        <w:t>10 Dérivation du logo des pictogrammes et du loader</w:t>
      </w:r>
    </w:p>
    <w:p>
      <w:r>
        <w:rPr>
          <w:rFonts w:ascii="Roboto" w:hAnsi="Roboto" w:eastAsia="Roboto"/>
          <w:sz w:val="20"/>
        </w:rPr>
        <w:t>Le système d’interface fournit un territoire formel, mais ne remplace pas une étude de marque. Le logo final doit être dérivé après validation des usages, afin qu’il fonctionne dans l’application, les documents, les petites tailles et les environnements monochromes.</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1656"/>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6"/>
              </w:rPr>
              <w:t>Élément</w:t>
            </w:r>
          </w:p>
        </w:tc>
        <w:tc>
          <w:tcPr>
            <w:tcW w:type="dxa" w:w="3600"/>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6"/>
              </w:rPr>
              <w:t>Base de dérivation</w:t>
            </w:r>
          </w:p>
        </w:tc>
        <w:tc>
          <w:tcPr>
            <w:tcW w:type="dxa" w:w="4608"/>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6"/>
              </w:rPr>
              <w:t>Validation obligatoire</w:t>
            </w:r>
          </w:p>
        </w:tc>
      </w:tr>
      <w:tr>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Logo</w:t>
            </w:r>
          </w:p>
        </w:tc>
        <w:tc>
          <w:tcPr>
            <w:tcW w:type="dxa" w:w="36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Nœuds reliés entre intention, décision, code et preuve</w:t>
            </w:r>
          </w:p>
        </w:tc>
        <w:tc>
          <w:tcPr>
            <w:tcW w:type="dxa" w:w="460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Lisibilité à 16, 24 et 48 px ; monochrome ; fond clair et sombre</w:t>
            </w:r>
          </w:p>
        </w:tc>
      </w:tr>
      <w:tr>
        <w:tc>
          <w:tcPr>
            <w:tcW w:type="dxa" w:w="1656"/>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Icône d’application</w:t>
            </w:r>
          </w:p>
        </w:tc>
        <w:tc>
          <w:tcPr>
            <w:tcW w:type="dxa" w:w="360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Une seule forme distinctive</w:t>
            </w:r>
          </w:p>
        </w:tc>
        <w:tc>
          <w:tcPr>
            <w:tcW w:type="dxa" w:w="460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Reconnaissance sans texte et sans détail fragile</w:t>
            </w:r>
          </w:p>
        </w:tc>
      </w:tr>
      <w:tr>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Pictogrammes</w:t>
            </w:r>
          </w:p>
        </w:tc>
        <w:tc>
          <w:tcPr>
            <w:tcW w:type="dxa" w:w="36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Géométrie modulaire, grille stricte, traits monospaces</w:t>
            </w:r>
          </w:p>
        </w:tc>
        <w:tc>
          <w:tcPr>
            <w:tcW w:type="dxa" w:w="460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Grille, épaisseur, angles et métaphores cohérents</w:t>
            </w:r>
          </w:p>
        </w:tc>
      </w:tr>
      <w:tr>
        <w:tc>
          <w:tcPr>
            <w:tcW w:type="dxa" w:w="1656"/>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Loader</w:t>
            </w:r>
          </w:p>
        </w:tc>
        <w:tc>
          <w:tcPr>
            <w:tcW w:type="dxa" w:w="360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Quatre nœuds se résolvent successivement jusqu’à former un graphe cohérent</w:t>
            </w:r>
          </w:p>
        </w:tc>
        <w:tc>
          <w:tcPr>
            <w:tcW w:type="dxa" w:w="4608"/>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Boucle fluide, état réduit des animations et durée non trompeuse</w:t>
            </w:r>
          </w:p>
        </w:tc>
      </w:tr>
      <w:tr>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Illustrations</w:t>
            </w:r>
          </w:p>
        </w:tc>
        <w:tc>
          <w:tcPr>
            <w:tcW w:type="dxa" w:w="36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Technique, structurée et prospective</w:t>
            </w:r>
          </w:p>
        </w:tc>
        <w:tc>
          <w:tcPr>
            <w:tcW w:type="dxa" w:w="460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Diversité, sobriété et absence de promesse non prouvée</w:t>
            </w:r>
          </w:p>
        </w:tc>
      </w:tr>
    </w:tbl>
    <w:p>
      <w:pPr>
        <w:spacing w:after="40"/>
      </w:pPr>
    </w:p>
    <w:p>
      <w:pPr>
        <w:pStyle w:val="Heading2"/>
      </w:pPr>
      <w:r>
        <w:rPr>
          <w:rFonts w:ascii="Montserrat" w:hAnsi="Montserrat" w:eastAsia="Montserrat"/>
          <w:b/>
          <w:color w:val="000000"/>
          <w:sz w:val="26"/>
        </w:rPr>
        <w:t>10.1 Ce qui reste à concevoir</w:t>
      </w:r>
    </w:p>
    <w:p>
      <w:pPr>
        <w:pStyle w:val="ListParagraph"/>
        <w:ind w:left="317" w:hanging="173"/>
      </w:pPr>
      <w:r>
        <w:rPr>
          <w:rFonts w:ascii="Roboto" w:hAnsi="Roboto" w:eastAsia="Roboto"/>
          <w:b/>
          <w:sz w:val="20"/>
        </w:rPr>
        <w:t xml:space="preserve">• </w:t>
      </w:r>
      <w:r>
        <w:rPr>
          <w:rFonts w:ascii="Roboto" w:hAnsi="Roboto" w:eastAsia="Roboto"/>
          <w:sz w:val="20"/>
        </w:rPr>
        <w:t>Exploration de trois territoires de logo puis sélection argumentée.</w:t>
      </w:r>
    </w:p>
    <w:p>
      <w:pPr>
        <w:pStyle w:val="ListParagraph"/>
        <w:ind w:left="317" w:hanging="173"/>
      </w:pPr>
      <w:r>
        <w:rPr>
          <w:rFonts w:ascii="Roboto" w:hAnsi="Roboto" w:eastAsia="Roboto"/>
          <w:b/>
          <w:sz w:val="20"/>
        </w:rPr>
        <w:t xml:space="preserve">• </w:t>
      </w:r>
      <w:r>
        <w:rPr>
          <w:rFonts w:ascii="Roboto" w:hAnsi="Roboto" w:eastAsia="Roboto"/>
          <w:sz w:val="20"/>
        </w:rPr>
        <w:t>Jeu initial de 24 pictogrammes fondamentaux et 12 pictogrammes métiers.</w:t>
      </w:r>
    </w:p>
    <w:p>
      <w:pPr>
        <w:pStyle w:val="ListParagraph"/>
        <w:ind w:left="317" w:hanging="173"/>
      </w:pPr>
      <w:r>
        <w:rPr>
          <w:rFonts w:ascii="Roboto" w:hAnsi="Roboto" w:eastAsia="Roboto"/>
          <w:b/>
          <w:sz w:val="20"/>
        </w:rPr>
        <w:t xml:space="preserve">• </w:t>
      </w:r>
      <w:r>
        <w:rPr>
          <w:rFonts w:ascii="Roboto" w:hAnsi="Roboto" w:eastAsia="Roboto"/>
          <w:sz w:val="20"/>
        </w:rPr>
        <w:t>Prototype animé du loader avec variantes normale, compacte et réduction des animations.</w:t>
      </w:r>
    </w:p>
    <w:p>
      <w:pPr>
        <w:pStyle w:val="ListParagraph"/>
        <w:ind w:left="317" w:hanging="173"/>
      </w:pPr>
      <w:r>
        <w:rPr>
          <w:rFonts w:ascii="Roboto" w:hAnsi="Roboto" w:eastAsia="Roboto"/>
          <w:b/>
          <w:sz w:val="20"/>
        </w:rPr>
        <w:t xml:space="preserve">• </w:t>
      </w:r>
      <w:r>
        <w:rPr>
          <w:rFonts w:ascii="Roboto" w:hAnsi="Roboto" w:eastAsia="Roboto"/>
          <w:sz w:val="20"/>
        </w:rPr>
        <w:t>Tests de reconnaissance, de contraste et de lisibilité sur appareils réels.</w:t>
      </w:r>
    </w:p>
    <w:p>
      <w:r>
        <w:br w:type="page"/>
      </w:r>
    </w:p>
    <w:p>
      <w:pPr>
        <w:pStyle w:val="Heading1"/>
      </w:pPr>
      <w:r>
        <w:rPr>
          <w:rFonts w:ascii="Montserrat" w:hAnsi="Montserrat" w:eastAsia="Montserrat"/>
          <w:b/>
          <w:color w:val="000000"/>
          <w:sz w:val="38"/>
        </w:rPr>
        <w:t>11 Gouvernance et passage au développement</w:t>
      </w:r>
    </w:p>
    <w:p>
      <w:r>
        <w:rPr>
          <w:rFonts w:ascii="Roboto" w:hAnsi="Roboto" w:eastAsia="Roboto"/>
          <w:sz w:val="20"/>
        </w:rPr>
        <w:t>Le système devient utile lorsqu’il est maintenu comme un produit. Chaque composant doit posséder un responsable, une version, des exemples, des critères d’acceptation et une implémentation reliée aux tokens.</w:t>
      </w:r>
    </w:p>
    <w:tbl>
      <w:tblPr>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1512"/>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6"/>
              </w:rPr>
              <w:t>Étape</w:t>
            </w:r>
          </w:p>
        </w:tc>
        <w:tc>
          <w:tcPr>
            <w:tcW w:type="dxa" w:w="2160"/>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6"/>
              </w:rPr>
              <w:t>Responsable principal</w:t>
            </w:r>
          </w:p>
        </w:tc>
        <w:tc>
          <w:tcPr>
            <w:tcW w:type="dxa" w:w="3312"/>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6"/>
              </w:rPr>
              <w:t>Sortie attendue</w:t>
            </w:r>
          </w:p>
        </w:tc>
        <w:tc>
          <w:tcPr>
            <w:tcW w:type="dxa" w:w="2880"/>
            <w:vAlign w:val="center"/>
            <w:shd w:fill="11102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Roboto" w:hAnsi="Roboto" w:eastAsia="Roboto"/>
                <w:b/>
                <w:color w:val="FFFFFF"/>
                <w:sz w:val="16"/>
              </w:rPr>
              <w:t>Critère de passage</w:t>
            </w:r>
          </w:p>
        </w:tc>
      </w:tr>
      <w:tr>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Cadrage</w:t>
            </w:r>
          </w:p>
        </w:tc>
        <w:tc>
          <w:tcPr>
            <w:tcW w:type="dxa" w:w="21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Produit et design</w:t>
            </w:r>
          </w:p>
        </w:tc>
        <w:tc>
          <w:tcPr>
            <w:tcW w:type="dxa" w:w="33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Priorités et parcours</w:t>
            </w:r>
          </w:p>
        </w:tc>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Problème et utilisateurs confirmés</w:t>
            </w:r>
          </w:p>
        </w:tc>
      </w:tr>
      <w:tr>
        <w:tc>
          <w:tcPr>
            <w:tcW w:type="dxa" w:w="151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Conception</w:t>
            </w:r>
          </w:p>
        </w:tc>
        <w:tc>
          <w:tcPr>
            <w:tcW w:type="dxa" w:w="216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Design UX UI</w:t>
            </w:r>
          </w:p>
        </w:tc>
        <w:tc>
          <w:tcPr>
            <w:tcW w:type="dxa" w:w="331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Composants et prototype</w:t>
            </w:r>
          </w:p>
        </w:tc>
        <w:tc>
          <w:tcPr>
            <w:tcW w:type="dxa" w:w="288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États et responsive documentés</w:t>
            </w:r>
          </w:p>
        </w:tc>
      </w:tr>
      <w:tr>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Revue métier</w:t>
            </w:r>
          </w:p>
        </w:tc>
        <w:tc>
          <w:tcPr>
            <w:tcW w:type="dxa" w:w="21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Expert métier</w:t>
            </w:r>
          </w:p>
        </w:tc>
        <w:tc>
          <w:tcPr>
            <w:tcW w:type="dxa" w:w="33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Terminologie et risques validés</w:t>
            </w:r>
          </w:p>
        </w:tc>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Aucune ambiguïté critique</w:t>
            </w:r>
          </w:p>
        </w:tc>
      </w:tr>
      <w:tr>
        <w:tc>
          <w:tcPr>
            <w:tcW w:type="dxa" w:w="151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Accessibilité</w:t>
            </w:r>
          </w:p>
        </w:tc>
        <w:tc>
          <w:tcPr>
            <w:tcW w:type="dxa" w:w="216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Design et qualité</w:t>
            </w:r>
          </w:p>
        </w:tc>
        <w:tc>
          <w:tcPr>
            <w:tcW w:type="dxa" w:w="331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Audit et corrections</w:t>
            </w:r>
          </w:p>
        </w:tc>
        <w:tc>
          <w:tcPr>
            <w:tcW w:type="dxa" w:w="288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Critères AA applicables satisfaits</w:t>
            </w:r>
          </w:p>
        </w:tc>
      </w:tr>
      <w:tr>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Implémentation</w:t>
            </w:r>
          </w:p>
        </w:tc>
        <w:tc>
          <w:tcPr>
            <w:tcW w:type="dxa" w:w="21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Développement</w:t>
            </w:r>
          </w:p>
        </w:tc>
        <w:tc>
          <w:tcPr>
            <w:tcW w:type="dxa" w:w="33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Composants codés et tokens</w:t>
            </w:r>
          </w:p>
        </w:tc>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Tests visuels et fonctionnels réussis</w:t>
            </w:r>
          </w:p>
        </w:tc>
      </w:tr>
      <w:tr>
        <w:tc>
          <w:tcPr>
            <w:tcW w:type="dxa" w:w="151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Adoption</w:t>
            </w:r>
          </w:p>
        </w:tc>
        <w:tc>
          <w:tcPr>
            <w:tcW w:type="dxa" w:w="216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Produit et opérations</w:t>
            </w:r>
          </w:p>
        </w:tc>
        <w:tc>
          <w:tcPr>
            <w:tcW w:type="dxa" w:w="3312"/>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Mesures d’usage</w:t>
            </w:r>
          </w:p>
        </w:tc>
        <w:tc>
          <w:tcPr>
            <w:tcW w:type="dxa" w:w="2880"/>
            <w:vAlign w:val="center"/>
            <w:shd w:fill="F6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
              <w:rPr>
                <w:rFonts w:ascii="Roboto" w:hAnsi="Roboto" w:eastAsia="Roboto"/>
                <w:sz w:val="16"/>
              </w:rPr>
              <w:t>Résultats utilisateurs suivis</w:t>
            </w:r>
          </w:p>
        </w:tc>
      </w:tr>
    </w:tbl>
    <w:p>
      <w:pPr>
        <w:spacing w:after="40"/>
      </w:pPr>
    </w:p>
    <w:p>
      <w:pPr>
        <w:pStyle w:val="Heading2"/>
      </w:pPr>
      <w:r>
        <w:rPr>
          <w:rFonts w:ascii="Montserrat" w:hAnsi="Montserrat" w:eastAsia="Montserrat"/>
          <w:b/>
          <w:color w:val="000000"/>
          <w:sz w:val="26"/>
        </w:rPr>
        <w:t>11.1 Livrables techniques associés</w:t>
      </w:r>
    </w:p>
    <w:p>
      <w:pPr>
        <w:pStyle w:val="ListParagraph"/>
        <w:ind w:left="317" w:hanging="173"/>
      </w:pPr>
      <w:r>
        <w:rPr>
          <w:rFonts w:ascii="Roboto" w:hAnsi="Roboto" w:eastAsia="Roboto"/>
          <w:b/>
          <w:sz w:val="20"/>
        </w:rPr>
        <w:t xml:space="preserve">• </w:t>
      </w:r>
      <w:r>
        <w:rPr>
          <w:rFonts w:ascii="Roboto" w:hAnsi="Roboto" w:eastAsia="Roboto"/>
          <w:sz w:val="20"/>
        </w:rPr>
        <w:t>Le fichier design-tokens.json contient les tokens initiaux dans un format lisible par les outils.</w:t>
      </w:r>
    </w:p>
    <w:p>
      <w:pPr>
        <w:pStyle w:val="ListParagraph"/>
        <w:ind w:left="317" w:hanging="173"/>
      </w:pPr>
      <w:r>
        <w:rPr>
          <w:rFonts w:ascii="Roboto" w:hAnsi="Roboto" w:eastAsia="Roboto"/>
          <w:b/>
          <w:sz w:val="20"/>
        </w:rPr>
        <w:t xml:space="preserve">• </w:t>
      </w:r>
      <w:r>
        <w:rPr>
          <w:rFonts w:ascii="Roboto" w:hAnsi="Roboto" w:eastAsia="Roboto"/>
          <w:sz w:val="20"/>
        </w:rPr>
        <w:t>Le dossier mockups contient les trois interfaces de référence et le concept de loader.</w:t>
      </w:r>
    </w:p>
    <w:p>
      <w:pPr>
        <w:pStyle w:val="ListParagraph"/>
        <w:ind w:left="317" w:hanging="173"/>
      </w:pPr>
      <w:r>
        <w:rPr>
          <w:rFonts w:ascii="Roboto" w:hAnsi="Roboto" w:eastAsia="Roboto"/>
          <w:b/>
          <w:sz w:val="20"/>
        </w:rPr>
        <w:t xml:space="preserve">• </w:t>
      </w:r>
      <w:r>
        <w:rPr>
          <w:rFonts w:ascii="Roboto" w:hAnsi="Roboto" w:eastAsia="Roboto"/>
          <w:sz w:val="20"/>
        </w:rPr>
        <w:t>Les composants devront ensuite être matérialisés dans la bibliothèque front-end et, si retenu, dans une bibliothèque Figma partagée.</w:t>
      </w:r>
    </w:p>
    <w:p>
      <w:pPr>
        <w:pStyle w:val="ListParagraph"/>
        <w:ind w:left="317" w:hanging="173"/>
      </w:pPr>
      <w:r>
        <w:rPr>
          <w:rFonts w:ascii="Roboto" w:hAnsi="Roboto" w:eastAsia="Roboto"/>
          <w:b/>
          <w:sz w:val="20"/>
        </w:rPr>
        <w:t xml:space="preserve">• </w:t>
      </w:r>
      <w:r>
        <w:rPr>
          <w:rFonts w:ascii="Roboto" w:hAnsi="Roboto" w:eastAsia="Roboto"/>
          <w:sz w:val="20"/>
        </w:rPr>
        <w:t>Toute divergence entre conception et code doit être explicitée, revue et répercutée dans la documentation.</w:t>
      </w:r>
    </w:p>
    <w:p>
      <w:r>
        <w:rPr>
          <w:rFonts w:ascii="Roboto" w:hAnsi="Roboto" w:eastAsia="Roboto"/>
          <w:sz w:val="20"/>
        </w:rPr>
        <w:t>Décision : ce document constitue la base UX UI de la première phase de conception. Il autorise le prototypage et la validation, mais ne dispense ni des tests utilisateurs, ni de la revue métier, ni de l’audit d’accessibilité.</w:t>
      </w:r>
    </w:p>
    <w:sectPr w:rsidR="00FC693F" w:rsidRPr="0006063C" w:rsidSect="00034616">
      <w:headerReference w:type="default" r:id="rId14"/>
      <w:footerReference w:type="default" r:id="rId15"/>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Roboto" w:hAnsi="Roboto" w:eastAsia="Roboto"/>
        <w:b w:val="0"/>
        <w:color w:val="5B6472"/>
        <w:sz w:val="15"/>
      </w:rPr>
      <w:t>ENISTERE  Document de référence UDM  Septembre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Roboto" w:hAnsi="Roboto" w:eastAsia="Roboto"/>
        <w:b/>
        <w:color w:val="5B6472"/>
        <w:sz w:val="15"/>
      </w:rPr>
      <w:t>ENISTERE FOUNDATION  UX UI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Roboto" w:hAnsi="Robo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ontserrat" w:hAnsi="Montserrat"/>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ontserrat" w:hAnsi="Montserrat"/>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ontserrat" w:hAnsi="Montserrat"/>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Roboto" w:hAnsi="Robo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Roboto" w:hAnsi="Roboto"/>
    </w:rPr>
  </w:style>
  <w:style w:type="paragraph" w:styleId="BodyText">
    <w:name w:val="Body Text"/>
    <w:basedOn w:val="Normal"/>
    <w:link w:val="BodyTextChar"/>
    <w:uiPriority w:val="99"/>
    <w:unhideWhenUsed/>
    <w:rsid w:val="00AA1D8D"/>
    <w:pPr>
      <w:spacing w:after="120"/>
    </w:pPr>
    <w:rPr>
      <w:rFonts w:ascii="Roboto" w:hAnsi="Robot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Roboto" w:hAnsi="Roboto"/>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Roboto" w:hAnsi="Roboto"/>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de design UX UI et interfaces de référence ENISTERE FOUNDATION</dc:title>
  <dc:subject>Fondations visuelles, tokens, composants et maquettes initiales</dc:subject>
  <dc:creator>ENISTERE</dc:creator>
  <cp:keywords>UX UI design system tokens composants accessibilité maquettes</cp:keywords>
  <dc:description>generated by python-docx</dc:description>
  <cp:lastModifiedBy/>
  <cp:revision>1</cp:revision>
  <dcterms:created xsi:type="dcterms:W3CDTF">2013-12-23T23:15:00Z</dcterms:created>
  <dcterms:modified xsi:type="dcterms:W3CDTF">2013-12-23T23:15:00Z</dcterms:modified>
  <cp:category>Dossier projet UDM</cp:category>
</cp:coreProperties>
</file>