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9196C" w14:textId="0E4D404E" w:rsidR="008F3689" w:rsidRDefault="00ED560C" w:rsidP="009E577F">
      <w:pPr>
        <w:rPr>
          <w:b/>
          <w:bCs/>
          <w:sz w:val="32"/>
          <w:szCs w:val="32"/>
        </w:rPr>
      </w:pPr>
      <w:bookmarkStart w:id="0" w:name="_Hlk56063702"/>
      <w:bookmarkEnd w:id="0"/>
      <w:r w:rsidRPr="00ED560C">
        <w:rPr>
          <w:b/>
          <w:bCs/>
          <w:sz w:val="32"/>
          <w:szCs w:val="32"/>
        </w:rPr>
        <w:t>Lock Out/Tag Out Procedure</w:t>
      </w:r>
    </w:p>
    <w:p w14:paraId="44A8B51F" w14:textId="77777777" w:rsidR="00ED560C" w:rsidRPr="00ED560C" w:rsidRDefault="00ED560C" w:rsidP="00ED560C"/>
    <w:p w14:paraId="0760CBF6" w14:textId="77777777" w:rsidR="00ED560C" w:rsidRDefault="00ED560C" w:rsidP="00ED560C">
      <w:pPr>
        <w:pStyle w:val="Heading1"/>
        <w:spacing w:after="261"/>
        <w:ind w:left="29"/>
      </w:pPr>
      <w:r>
        <w:t xml:space="preserve">PURPOSE </w:t>
      </w:r>
    </w:p>
    <w:p w14:paraId="105281C7" w14:textId="663F6351" w:rsidR="00ED560C" w:rsidRPr="00ED560C" w:rsidRDefault="00ED560C" w:rsidP="00ED560C">
      <w:r w:rsidRPr="00ED560C">
        <w:t>Th</w:t>
      </w:r>
      <w:r w:rsidR="00580378">
        <w:t>is procedure</w:t>
      </w:r>
      <w:r w:rsidRPr="00ED560C">
        <w:t xml:space="preserve"> support</w:t>
      </w:r>
      <w:r w:rsidR="00580378">
        <w:t>s</w:t>
      </w:r>
      <w:r w:rsidRPr="00ED560C">
        <w:t xml:space="preserve"> the Manhari Metals HSEQ Handbook. </w:t>
      </w:r>
    </w:p>
    <w:p w14:paraId="43F15F22" w14:textId="2313B7B3" w:rsidR="00ED560C" w:rsidRPr="00ED560C" w:rsidRDefault="00ED560C" w:rsidP="00ED560C">
      <w:r w:rsidRPr="00ED560C">
        <w:t>The aim of th</w:t>
      </w:r>
      <w:r w:rsidR="00580378">
        <w:t>is procedure is</w:t>
      </w:r>
      <w:r w:rsidRPr="00ED560C">
        <w:t xml:space="preserve"> to</w:t>
      </w:r>
      <w:r>
        <w:t xml:space="preserve"> e</w:t>
      </w:r>
      <w:r w:rsidRPr="00ED560C">
        <w:t xml:space="preserve">nsure adequate controls are implemented to eliminate risks associated with potential release of energy during servicing, commissioning, </w:t>
      </w:r>
      <w:proofErr w:type="gramStart"/>
      <w:r w:rsidRPr="00ED560C">
        <w:t>repairing</w:t>
      </w:r>
      <w:proofErr w:type="gramEnd"/>
      <w:r w:rsidRPr="00ED560C">
        <w:t xml:space="preserve"> or modification works on plant and equipment.  </w:t>
      </w:r>
    </w:p>
    <w:p w14:paraId="7E10FC30" w14:textId="154F9858" w:rsidR="00ED560C" w:rsidRDefault="00ED560C" w:rsidP="00ED560C"/>
    <w:p w14:paraId="31A763F4" w14:textId="6FA48357" w:rsidR="00ED560C" w:rsidRPr="00ED560C" w:rsidRDefault="00ED560C" w:rsidP="00ED560C">
      <w:pPr>
        <w:pStyle w:val="Heading1"/>
      </w:pPr>
      <w:r>
        <w:t>Definitions</w:t>
      </w:r>
    </w:p>
    <w:tbl>
      <w:tblPr>
        <w:tblStyle w:val="TableGrid0"/>
        <w:tblpPr w:vertAnchor="text" w:tblpY="363"/>
        <w:tblOverlap w:val="never"/>
        <w:tblW w:w="9444" w:type="dxa"/>
        <w:tblInd w:w="0" w:type="dxa"/>
        <w:tblLook w:val="04A0" w:firstRow="1" w:lastRow="0" w:firstColumn="1" w:lastColumn="0" w:noHBand="0" w:noVBand="1"/>
      </w:tblPr>
      <w:tblGrid>
        <w:gridCol w:w="2126"/>
        <w:gridCol w:w="7318"/>
      </w:tblGrid>
      <w:tr w:rsidR="00ED560C" w14:paraId="14ED6655" w14:textId="77777777" w:rsidTr="00A76263">
        <w:trPr>
          <w:trHeight w:val="978"/>
        </w:trPr>
        <w:tc>
          <w:tcPr>
            <w:tcW w:w="2126" w:type="dxa"/>
          </w:tcPr>
          <w:p w14:paraId="1E98FD44" w14:textId="77777777" w:rsidR="00ED560C" w:rsidRPr="00ED560C" w:rsidRDefault="00ED560C" w:rsidP="00ED560C">
            <w:pPr>
              <w:spacing w:line="259" w:lineRule="auto"/>
              <w:rPr>
                <w:rFonts w:cstheme="minorHAnsi"/>
              </w:rPr>
            </w:pPr>
            <w:r w:rsidRPr="00ED560C">
              <w:rPr>
                <w:rFonts w:eastAsia="Arial" w:cstheme="minorHAnsi"/>
                <w:b/>
              </w:rPr>
              <w:t>Authorised person</w:t>
            </w:r>
            <w:r w:rsidRPr="00ED560C">
              <w:rPr>
                <w:rFonts w:cstheme="minorHAnsi"/>
              </w:rPr>
              <w:t xml:space="preserve"> </w:t>
            </w:r>
          </w:p>
        </w:tc>
        <w:tc>
          <w:tcPr>
            <w:tcW w:w="7318" w:type="dxa"/>
          </w:tcPr>
          <w:p w14:paraId="6E38D26C" w14:textId="77777777" w:rsidR="00ED560C" w:rsidRPr="00ED560C" w:rsidRDefault="00ED560C" w:rsidP="00ED560C">
            <w:pPr>
              <w:spacing w:line="259" w:lineRule="auto"/>
              <w:ind w:right="52"/>
              <w:rPr>
                <w:rFonts w:cstheme="minorHAnsi"/>
              </w:rPr>
            </w:pPr>
            <w:r w:rsidRPr="00ED560C">
              <w:rPr>
                <w:rFonts w:cstheme="minorHAnsi"/>
              </w:rPr>
              <w:t xml:space="preserve">A person authorised by the Area Manager/Supervisor, who is sufficiently competent to lock out, tag out and isolate installations or plant for the purposes of cleaning, servicing, repairing or alteration.  </w:t>
            </w:r>
          </w:p>
        </w:tc>
      </w:tr>
      <w:tr w:rsidR="00ED560C" w14:paraId="53FC373B" w14:textId="77777777" w:rsidTr="00A76263">
        <w:trPr>
          <w:trHeight w:val="787"/>
        </w:trPr>
        <w:tc>
          <w:tcPr>
            <w:tcW w:w="2126" w:type="dxa"/>
          </w:tcPr>
          <w:p w14:paraId="727B9056" w14:textId="77777777" w:rsidR="00ED560C" w:rsidRPr="00ED560C" w:rsidRDefault="00ED560C" w:rsidP="00ED560C">
            <w:pPr>
              <w:spacing w:line="259" w:lineRule="auto"/>
              <w:rPr>
                <w:rFonts w:cstheme="minorHAnsi"/>
              </w:rPr>
            </w:pPr>
            <w:r w:rsidRPr="00ED560C">
              <w:rPr>
                <w:rFonts w:eastAsia="Arial" w:cstheme="minorHAnsi"/>
                <w:b/>
              </w:rPr>
              <w:t>Energy Sources</w:t>
            </w:r>
            <w:r w:rsidRPr="00ED560C">
              <w:rPr>
                <w:rFonts w:cstheme="minorHAnsi"/>
                <w:sz w:val="24"/>
              </w:rPr>
              <w:t xml:space="preserve"> </w:t>
            </w:r>
          </w:p>
        </w:tc>
        <w:tc>
          <w:tcPr>
            <w:tcW w:w="7318" w:type="dxa"/>
          </w:tcPr>
          <w:p w14:paraId="095D1BB2" w14:textId="77777777" w:rsidR="00ED560C" w:rsidRPr="00ED560C" w:rsidRDefault="00ED560C" w:rsidP="00ED560C">
            <w:pPr>
              <w:spacing w:line="259" w:lineRule="auto"/>
              <w:rPr>
                <w:rFonts w:cstheme="minorHAnsi"/>
              </w:rPr>
            </w:pPr>
            <w:r w:rsidRPr="00ED560C">
              <w:rPr>
                <w:rFonts w:cstheme="minorHAnsi"/>
              </w:rPr>
              <w:t xml:space="preserve">Anything with the capacity for doing work and includes springs under tension or compression, accumulators, </w:t>
            </w:r>
            <w:proofErr w:type="gramStart"/>
            <w:r w:rsidRPr="00ED560C">
              <w:rPr>
                <w:rFonts w:cstheme="minorHAnsi"/>
              </w:rPr>
              <w:t>capacitors</w:t>
            </w:r>
            <w:proofErr w:type="gramEnd"/>
            <w:r w:rsidRPr="00ED560C">
              <w:rPr>
                <w:rFonts w:cstheme="minorHAnsi"/>
              </w:rPr>
              <w:t xml:space="preserve"> and other energy storing devices.</w:t>
            </w:r>
            <w:r w:rsidRPr="00ED560C">
              <w:rPr>
                <w:rFonts w:cstheme="minorHAnsi"/>
                <w:sz w:val="24"/>
              </w:rPr>
              <w:t xml:space="preserve">  </w:t>
            </w:r>
          </w:p>
        </w:tc>
      </w:tr>
      <w:tr w:rsidR="00ED560C" w14:paraId="6DCC1D33" w14:textId="77777777" w:rsidTr="00A76263">
        <w:trPr>
          <w:trHeight w:val="1030"/>
        </w:trPr>
        <w:tc>
          <w:tcPr>
            <w:tcW w:w="2126" w:type="dxa"/>
          </w:tcPr>
          <w:p w14:paraId="0DDFBBC9" w14:textId="77777777" w:rsidR="00ED560C" w:rsidRPr="00ED560C" w:rsidRDefault="00ED560C" w:rsidP="00ED560C">
            <w:pPr>
              <w:spacing w:line="259" w:lineRule="auto"/>
              <w:rPr>
                <w:rFonts w:cstheme="minorHAnsi"/>
              </w:rPr>
            </w:pPr>
            <w:r w:rsidRPr="00ED560C">
              <w:rPr>
                <w:rFonts w:eastAsia="Arial" w:cstheme="minorHAnsi"/>
                <w:b/>
              </w:rPr>
              <w:t xml:space="preserve">Isolation of Plant </w:t>
            </w:r>
          </w:p>
        </w:tc>
        <w:tc>
          <w:tcPr>
            <w:tcW w:w="7318" w:type="dxa"/>
          </w:tcPr>
          <w:p w14:paraId="5B33D054" w14:textId="77777777" w:rsidR="00ED560C" w:rsidRPr="00ED560C" w:rsidRDefault="00ED560C" w:rsidP="00ED560C">
            <w:pPr>
              <w:spacing w:line="259" w:lineRule="auto"/>
              <w:ind w:right="55"/>
              <w:rPr>
                <w:rFonts w:cstheme="minorHAnsi"/>
              </w:rPr>
            </w:pPr>
            <w:r w:rsidRPr="00ED560C">
              <w:rPr>
                <w:rFonts w:cstheme="minorHAnsi"/>
              </w:rPr>
              <w:t xml:space="preserve">A means to prevent energy entering the plant and de-energising of plant, in such a way as to prevent the possibility of accidental or unplanned energisation of the whole, or a specific section of the plant. </w:t>
            </w:r>
          </w:p>
        </w:tc>
      </w:tr>
      <w:tr w:rsidR="00ED560C" w14:paraId="6038D350" w14:textId="77777777" w:rsidTr="00A76263">
        <w:trPr>
          <w:trHeight w:val="768"/>
        </w:trPr>
        <w:tc>
          <w:tcPr>
            <w:tcW w:w="2126" w:type="dxa"/>
          </w:tcPr>
          <w:p w14:paraId="4A8922F1" w14:textId="77777777" w:rsidR="00ED560C" w:rsidRPr="00ED560C" w:rsidRDefault="00ED560C" w:rsidP="00ED560C">
            <w:pPr>
              <w:spacing w:line="259" w:lineRule="auto"/>
              <w:rPr>
                <w:rFonts w:cstheme="minorHAnsi"/>
              </w:rPr>
            </w:pPr>
            <w:r w:rsidRPr="00ED560C">
              <w:rPr>
                <w:rFonts w:eastAsia="Arial" w:cstheme="minorHAnsi"/>
                <w:b/>
              </w:rPr>
              <w:t xml:space="preserve">Isolation Procedure </w:t>
            </w:r>
          </w:p>
        </w:tc>
        <w:tc>
          <w:tcPr>
            <w:tcW w:w="7318" w:type="dxa"/>
          </w:tcPr>
          <w:p w14:paraId="0A0E434F" w14:textId="77777777" w:rsidR="00ED560C" w:rsidRPr="00ED560C" w:rsidRDefault="00ED560C" w:rsidP="00ED560C">
            <w:pPr>
              <w:spacing w:line="259" w:lineRule="auto"/>
              <w:rPr>
                <w:rFonts w:cstheme="minorHAnsi"/>
              </w:rPr>
            </w:pPr>
            <w:r w:rsidRPr="00ED560C">
              <w:rPr>
                <w:rFonts w:cstheme="minorHAnsi"/>
              </w:rPr>
              <w:t xml:space="preserve">A set of predetermined steps that must be followed to ensure that plant and related hazards cannot jeopardise the safety of those working on the plant. </w:t>
            </w:r>
          </w:p>
        </w:tc>
      </w:tr>
      <w:tr w:rsidR="00ED560C" w14:paraId="5F111E1F" w14:textId="77777777" w:rsidTr="00A76263">
        <w:trPr>
          <w:trHeight w:val="1071"/>
        </w:trPr>
        <w:tc>
          <w:tcPr>
            <w:tcW w:w="2126" w:type="dxa"/>
          </w:tcPr>
          <w:p w14:paraId="7F0F84F1" w14:textId="77777777" w:rsidR="00ED560C" w:rsidRPr="00ED560C" w:rsidRDefault="00ED560C" w:rsidP="00ED560C">
            <w:pPr>
              <w:spacing w:line="259" w:lineRule="auto"/>
              <w:rPr>
                <w:rFonts w:cstheme="minorHAnsi"/>
              </w:rPr>
            </w:pPr>
            <w:r w:rsidRPr="00ED560C">
              <w:rPr>
                <w:rFonts w:eastAsia="Arial" w:cstheme="minorHAnsi"/>
                <w:b/>
              </w:rPr>
              <w:t xml:space="preserve">Lockout device and personal locks </w:t>
            </w:r>
          </w:p>
        </w:tc>
        <w:tc>
          <w:tcPr>
            <w:tcW w:w="7318" w:type="dxa"/>
          </w:tcPr>
          <w:p w14:paraId="3B419C2C" w14:textId="58C117D2" w:rsidR="00ED560C" w:rsidRPr="00ED560C" w:rsidRDefault="00ED560C" w:rsidP="00ED560C">
            <w:pPr>
              <w:spacing w:line="278" w:lineRule="auto"/>
              <w:ind w:right="57"/>
              <w:rPr>
                <w:rFonts w:cstheme="minorHAnsi"/>
              </w:rPr>
            </w:pPr>
            <w:r w:rsidRPr="00ED560C">
              <w:rPr>
                <w:rFonts w:cstheme="minorHAnsi"/>
              </w:rPr>
              <w:t>A device, such as a lock, used to hold an isolating device in the safe position and prevent plant from becoming energised</w:t>
            </w:r>
            <w:r w:rsidRPr="00ED560C">
              <w:rPr>
                <w:rFonts w:eastAsia="Arial" w:cstheme="minorHAnsi"/>
                <w:b/>
              </w:rPr>
              <w:t xml:space="preserve">. </w:t>
            </w:r>
            <w:r w:rsidRPr="00ED560C">
              <w:rPr>
                <w:rFonts w:cstheme="minorHAnsi"/>
              </w:rPr>
              <w:t xml:space="preserve">A personal lock is a lockout device applied by an authorised person, who is in control of the key.  </w:t>
            </w:r>
          </w:p>
        </w:tc>
      </w:tr>
      <w:tr w:rsidR="0078545E" w14:paraId="0BF4C3E9" w14:textId="77777777" w:rsidTr="0078545E">
        <w:trPr>
          <w:trHeight w:val="3397"/>
        </w:trPr>
        <w:tc>
          <w:tcPr>
            <w:tcW w:w="9444" w:type="dxa"/>
            <w:gridSpan w:val="2"/>
            <w:vAlign w:val="center"/>
          </w:tcPr>
          <w:p w14:paraId="6E0D369B" w14:textId="4B1A6528" w:rsidR="0078545E" w:rsidRPr="00ED560C" w:rsidRDefault="0078545E" w:rsidP="0078545E">
            <w:pPr>
              <w:spacing w:line="278" w:lineRule="auto"/>
              <w:ind w:right="57"/>
              <w:jc w:val="center"/>
              <w:rPr>
                <w:rFonts w:cstheme="minorHAnsi"/>
              </w:rPr>
            </w:pPr>
            <w:r>
              <w:rPr>
                <w:rFonts w:cstheme="minorHAnsi"/>
                <w:noProof/>
              </w:rPr>
              <w:drawing>
                <wp:inline distT="0" distB="0" distL="0" distR="0" wp14:anchorId="7CAEA891" wp14:editId="5C79E031">
                  <wp:extent cx="1581150" cy="1581150"/>
                  <wp:effectExtent l="0" t="0" r="0" b="0"/>
                  <wp:docPr id="1" name="Picture 1" descr="A close up of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inline>
              </w:drawing>
            </w:r>
            <w:r>
              <w:rPr>
                <w:rFonts w:cstheme="minorHAnsi"/>
                <w:noProof/>
              </w:rPr>
              <w:drawing>
                <wp:inline distT="0" distB="0" distL="0" distR="0" wp14:anchorId="4EA79F79" wp14:editId="07643AF1">
                  <wp:extent cx="1590675" cy="1590675"/>
                  <wp:effectExtent l="0" t="0" r="9525" b="952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tc>
      </w:tr>
    </w:tbl>
    <w:p w14:paraId="3C068F88" w14:textId="77777777" w:rsidR="00ED560C" w:rsidRDefault="00ED560C"/>
    <w:tbl>
      <w:tblPr>
        <w:tblStyle w:val="TableGrid0"/>
        <w:tblpPr w:vertAnchor="text" w:tblpY="363"/>
        <w:tblOverlap w:val="never"/>
        <w:tblW w:w="9444" w:type="dxa"/>
        <w:tblInd w:w="0" w:type="dxa"/>
        <w:tblLook w:val="04A0" w:firstRow="1" w:lastRow="0" w:firstColumn="1" w:lastColumn="0" w:noHBand="0" w:noVBand="1"/>
      </w:tblPr>
      <w:tblGrid>
        <w:gridCol w:w="2126"/>
        <w:gridCol w:w="7318"/>
      </w:tblGrid>
      <w:tr w:rsidR="00ED560C" w14:paraId="1B9FC3EC" w14:textId="77777777" w:rsidTr="00A76263">
        <w:trPr>
          <w:trHeight w:val="420"/>
        </w:trPr>
        <w:tc>
          <w:tcPr>
            <w:tcW w:w="2126" w:type="dxa"/>
          </w:tcPr>
          <w:p w14:paraId="663E4239" w14:textId="3E7A8AEE" w:rsidR="00ED560C" w:rsidRPr="00ED560C" w:rsidRDefault="00ED560C" w:rsidP="00ED560C">
            <w:pPr>
              <w:spacing w:line="259" w:lineRule="auto"/>
              <w:rPr>
                <w:rFonts w:eastAsia="Arial" w:cstheme="minorHAnsi"/>
                <w:b/>
              </w:rPr>
            </w:pPr>
            <w:r>
              <w:rPr>
                <w:rFonts w:eastAsia="Arial" w:cstheme="minorHAnsi"/>
                <w:b/>
              </w:rPr>
              <w:lastRenderedPageBreak/>
              <w:t>Out of Service Tag</w:t>
            </w:r>
          </w:p>
        </w:tc>
        <w:tc>
          <w:tcPr>
            <w:tcW w:w="7318" w:type="dxa"/>
          </w:tcPr>
          <w:p w14:paraId="7D7F6702" w14:textId="393592C6" w:rsidR="00ED560C" w:rsidRDefault="00ED560C" w:rsidP="00ED560C">
            <w:pPr>
              <w:spacing w:line="278" w:lineRule="auto"/>
              <w:ind w:right="57"/>
              <w:rPr>
                <w:rFonts w:cstheme="minorHAnsi"/>
                <w:noProof/>
              </w:rPr>
            </w:pPr>
            <w:r>
              <w:t>A tag used to indicate that the plant is unserviceable and should not be used.</w:t>
            </w:r>
          </w:p>
        </w:tc>
      </w:tr>
      <w:tr w:rsidR="0078545E" w14:paraId="32FFDC1B" w14:textId="77777777" w:rsidTr="006C3D8C">
        <w:trPr>
          <w:trHeight w:val="1970"/>
        </w:trPr>
        <w:tc>
          <w:tcPr>
            <w:tcW w:w="9444" w:type="dxa"/>
            <w:gridSpan w:val="2"/>
          </w:tcPr>
          <w:p w14:paraId="71004910" w14:textId="34834042" w:rsidR="0078545E" w:rsidRDefault="0078545E" w:rsidP="00ED560C">
            <w:pPr>
              <w:spacing w:line="278" w:lineRule="auto"/>
              <w:ind w:right="57"/>
              <w:jc w:val="center"/>
            </w:pPr>
            <w:r>
              <w:rPr>
                <w:noProof/>
              </w:rPr>
              <w:drawing>
                <wp:inline distT="0" distB="0" distL="0" distR="0" wp14:anchorId="2A45041C" wp14:editId="68CD23BA">
                  <wp:extent cx="2219325" cy="1825710"/>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4505" cy="1829971"/>
                          </a:xfrm>
                          <a:prstGeom prst="rect">
                            <a:avLst/>
                          </a:prstGeom>
                        </pic:spPr>
                      </pic:pic>
                    </a:graphicData>
                  </a:graphic>
                </wp:inline>
              </w:drawing>
            </w:r>
          </w:p>
        </w:tc>
      </w:tr>
      <w:tr w:rsidR="00ED560C" w14:paraId="27BDEBAA" w14:textId="77777777" w:rsidTr="00A76263">
        <w:trPr>
          <w:trHeight w:val="841"/>
        </w:trPr>
        <w:tc>
          <w:tcPr>
            <w:tcW w:w="2126" w:type="dxa"/>
          </w:tcPr>
          <w:p w14:paraId="2F7C0FEA" w14:textId="3EF1E3BE" w:rsidR="00ED560C" w:rsidRDefault="00ED560C" w:rsidP="00ED560C">
            <w:pPr>
              <w:spacing w:line="259" w:lineRule="auto"/>
              <w:rPr>
                <w:rFonts w:eastAsia="Arial" w:cstheme="minorHAnsi"/>
                <w:b/>
              </w:rPr>
            </w:pPr>
            <w:r>
              <w:rPr>
                <w:rFonts w:eastAsia="Arial" w:cstheme="minorHAnsi"/>
                <w:b/>
              </w:rPr>
              <w:t>Personal Danger Tag</w:t>
            </w:r>
          </w:p>
        </w:tc>
        <w:tc>
          <w:tcPr>
            <w:tcW w:w="7318" w:type="dxa"/>
          </w:tcPr>
          <w:p w14:paraId="064A2F01" w14:textId="77777777" w:rsidR="00ED560C" w:rsidRDefault="00ED560C" w:rsidP="00ED560C">
            <w:pPr>
              <w:tabs>
                <w:tab w:val="right" w:pos="9390"/>
              </w:tabs>
              <w:spacing w:after="16"/>
            </w:pPr>
            <w:r>
              <w:t xml:space="preserve">A personal danger tag on the isolation device of an item of plant is a warning that </w:t>
            </w:r>
          </w:p>
          <w:p w14:paraId="457B56CE" w14:textId="4CDFFF8A" w:rsidR="00ED560C" w:rsidRDefault="00ED560C" w:rsidP="00ED560C">
            <w:pPr>
              <w:spacing w:line="278" w:lineRule="auto"/>
              <w:ind w:right="57"/>
            </w:pPr>
            <w:r>
              <w:t>the plant is in an unsafe condition and that operation of that plant may endanger the person who attached the tag.</w:t>
            </w:r>
          </w:p>
        </w:tc>
      </w:tr>
      <w:tr w:rsidR="0078545E" w14:paraId="7E197553" w14:textId="77777777" w:rsidTr="00A83B68">
        <w:trPr>
          <w:trHeight w:val="841"/>
        </w:trPr>
        <w:tc>
          <w:tcPr>
            <w:tcW w:w="9444" w:type="dxa"/>
            <w:gridSpan w:val="2"/>
          </w:tcPr>
          <w:p w14:paraId="564A5E88" w14:textId="0FFA112A" w:rsidR="0078545E" w:rsidRDefault="0078545E" w:rsidP="00A76263">
            <w:pPr>
              <w:spacing w:line="278" w:lineRule="auto"/>
              <w:ind w:right="57"/>
              <w:jc w:val="center"/>
            </w:pPr>
            <w:r>
              <w:rPr>
                <w:noProof/>
              </w:rPr>
              <w:drawing>
                <wp:inline distT="0" distB="0" distL="0" distR="0" wp14:anchorId="07713541" wp14:editId="72368604">
                  <wp:extent cx="2495550" cy="1754551"/>
                  <wp:effectExtent l="0" t="0" r="0" b="0"/>
                  <wp:docPr id="5" name="Picture 5"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 foo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99425" cy="1757275"/>
                          </a:xfrm>
                          <a:prstGeom prst="rect">
                            <a:avLst/>
                          </a:prstGeom>
                        </pic:spPr>
                      </pic:pic>
                    </a:graphicData>
                  </a:graphic>
                </wp:inline>
              </w:drawing>
            </w:r>
          </w:p>
        </w:tc>
      </w:tr>
      <w:tr w:rsidR="00A76263" w14:paraId="4F2897FD" w14:textId="77777777" w:rsidTr="00A76263">
        <w:trPr>
          <w:trHeight w:val="841"/>
        </w:trPr>
        <w:tc>
          <w:tcPr>
            <w:tcW w:w="2126" w:type="dxa"/>
          </w:tcPr>
          <w:p w14:paraId="6885AFA2" w14:textId="7A98B5D0" w:rsidR="00A76263" w:rsidRDefault="00A76263" w:rsidP="00ED560C">
            <w:pPr>
              <w:spacing w:line="259" w:lineRule="auto"/>
              <w:rPr>
                <w:rFonts w:eastAsia="Arial" w:cstheme="minorHAnsi"/>
                <w:b/>
              </w:rPr>
            </w:pPr>
            <w:r>
              <w:rPr>
                <w:rFonts w:eastAsia="Arial" w:cstheme="minorHAnsi"/>
                <w:b/>
              </w:rPr>
              <w:t>Plant</w:t>
            </w:r>
          </w:p>
        </w:tc>
        <w:tc>
          <w:tcPr>
            <w:tcW w:w="7318" w:type="dxa"/>
          </w:tcPr>
          <w:p w14:paraId="6BAFB7BC" w14:textId="089FA722" w:rsidR="00A76263" w:rsidRDefault="00A76263" w:rsidP="00ED560C">
            <w:pPr>
              <w:spacing w:line="278" w:lineRule="auto"/>
              <w:ind w:right="57"/>
            </w:pPr>
            <w:r>
              <w:t>A general name for machinery, equipment, appliance, implement or tool and any component or fitting or accessory of these</w:t>
            </w:r>
            <w:r>
              <w:rPr>
                <w:rFonts w:ascii="Arial" w:eastAsia="Arial" w:hAnsi="Arial" w:cs="Arial"/>
                <w:b/>
              </w:rPr>
              <w:t>.</w:t>
            </w:r>
          </w:p>
        </w:tc>
      </w:tr>
    </w:tbl>
    <w:p w14:paraId="345F96BC" w14:textId="0E2623B0" w:rsidR="00ED560C" w:rsidRPr="00ED560C" w:rsidRDefault="00ED560C" w:rsidP="00ED560C">
      <w:pPr>
        <w:spacing w:before="0" w:after="344" w:line="269" w:lineRule="auto"/>
        <w:ind w:right="134"/>
        <w:rPr>
          <w:rFonts w:cstheme="minorHAnsi"/>
        </w:rPr>
      </w:pPr>
    </w:p>
    <w:p w14:paraId="46FD180D" w14:textId="0DF64982" w:rsidR="00ED560C" w:rsidRDefault="00ED560C" w:rsidP="00ED560C"/>
    <w:p w14:paraId="3C6EAB76" w14:textId="061A3377" w:rsidR="006263F2" w:rsidRDefault="006263F2" w:rsidP="006263F2">
      <w:pPr>
        <w:pStyle w:val="Heading1"/>
      </w:pPr>
      <w:r>
        <w:t>Energy Sources and Hazards</w:t>
      </w:r>
    </w:p>
    <w:p w14:paraId="3635006C" w14:textId="3BEC5531" w:rsidR="006263F2" w:rsidRDefault="006263F2" w:rsidP="00ED560C">
      <w:r>
        <w:t>All energy sources and other hazards likely to place people doing the work at risk must be identified.</w:t>
      </w:r>
      <w:r>
        <w:rPr>
          <w:rFonts w:ascii="Arial" w:eastAsia="Arial" w:hAnsi="Arial" w:cs="Arial"/>
          <w:b/>
        </w:rPr>
        <w:t xml:space="preserve"> </w:t>
      </w:r>
      <w:r>
        <w:t>An authorised person, who knows the complexities of plant, must ensure all energy sources and potential hazards to those working on the plant are isolated prior to any work being done.</w:t>
      </w:r>
    </w:p>
    <w:p w14:paraId="043163E2" w14:textId="77777777" w:rsidR="006263F2" w:rsidRPr="006263F2" w:rsidRDefault="006263F2" w:rsidP="006263F2">
      <w:r w:rsidRPr="006263F2">
        <w:t xml:space="preserve">Plant energy sources include, but are not limited to: </w:t>
      </w:r>
    </w:p>
    <w:p w14:paraId="37CC5EEC" w14:textId="77777777" w:rsidR="006263F2" w:rsidRDefault="006263F2" w:rsidP="006263F2">
      <w:pPr>
        <w:pStyle w:val="ListParagraph"/>
        <w:numPr>
          <w:ilvl w:val="0"/>
          <w:numId w:val="18"/>
        </w:numPr>
      </w:pPr>
      <w:r>
        <w:t>E</w:t>
      </w:r>
      <w:r w:rsidRPr="006263F2">
        <w:t>lectricity (mains</w:t>
      </w:r>
      <w:r>
        <w:t xml:space="preserve"> </w:t>
      </w:r>
      <w:r w:rsidRPr="006263F2">
        <w:t>and by generator)</w:t>
      </w:r>
    </w:p>
    <w:p w14:paraId="3E5148D3" w14:textId="77777777" w:rsidR="006263F2" w:rsidRDefault="006263F2" w:rsidP="006263F2">
      <w:pPr>
        <w:pStyle w:val="ListParagraph"/>
        <w:numPr>
          <w:ilvl w:val="0"/>
          <w:numId w:val="18"/>
        </w:numPr>
      </w:pPr>
      <w:r>
        <w:t>C</w:t>
      </w:r>
      <w:r w:rsidRPr="006263F2">
        <w:t>hemicals</w:t>
      </w:r>
    </w:p>
    <w:p w14:paraId="51FFDDA1" w14:textId="77777777" w:rsidR="006263F2" w:rsidRDefault="006263F2" w:rsidP="006263F2">
      <w:pPr>
        <w:pStyle w:val="ListParagraph"/>
        <w:numPr>
          <w:ilvl w:val="0"/>
          <w:numId w:val="18"/>
        </w:numPr>
      </w:pPr>
      <w:r>
        <w:t>F</w:t>
      </w:r>
      <w:r w:rsidRPr="006263F2">
        <w:t>uels</w:t>
      </w:r>
    </w:p>
    <w:p w14:paraId="28BA10CE" w14:textId="77777777" w:rsidR="006263F2" w:rsidRDefault="006263F2" w:rsidP="006263F2">
      <w:pPr>
        <w:pStyle w:val="ListParagraph"/>
        <w:numPr>
          <w:ilvl w:val="0"/>
          <w:numId w:val="18"/>
        </w:numPr>
      </w:pPr>
      <w:r>
        <w:t>H</w:t>
      </w:r>
      <w:r w:rsidRPr="006263F2">
        <w:t>eat</w:t>
      </w:r>
    </w:p>
    <w:p w14:paraId="33845740" w14:textId="77777777" w:rsidR="006263F2" w:rsidRDefault="006263F2" w:rsidP="006263F2">
      <w:pPr>
        <w:pStyle w:val="ListParagraph"/>
        <w:numPr>
          <w:ilvl w:val="0"/>
          <w:numId w:val="18"/>
        </w:numPr>
      </w:pPr>
      <w:r>
        <w:t>S</w:t>
      </w:r>
      <w:r w:rsidRPr="006263F2">
        <w:t>team</w:t>
      </w:r>
    </w:p>
    <w:p w14:paraId="392A4D7A" w14:textId="77777777" w:rsidR="006263F2" w:rsidRDefault="006263F2" w:rsidP="006263F2">
      <w:pPr>
        <w:pStyle w:val="ListParagraph"/>
        <w:numPr>
          <w:ilvl w:val="0"/>
          <w:numId w:val="18"/>
        </w:numPr>
      </w:pPr>
      <w:r>
        <w:t>P</w:t>
      </w:r>
      <w:r w:rsidRPr="006263F2">
        <w:t>neumatic pressure (compressed air)</w:t>
      </w:r>
    </w:p>
    <w:p w14:paraId="6BFFAC3E" w14:textId="77777777" w:rsidR="006263F2" w:rsidRDefault="006263F2" w:rsidP="006263F2">
      <w:pPr>
        <w:pStyle w:val="ListParagraph"/>
        <w:numPr>
          <w:ilvl w:val="0"/>
          <w:numId w:val="18"/>
        </w:numPr>
      </w:pPr>
      <w:r>
        <w:t>F</w:t>
      </w:r>
      <w:r w:rsidRPr="006263F2">
        <w:t>luids under pressure, such as water or hydraulic oil</w:t>
      </w:r>
    </w:p>
    <w:p w14:paraId="0B8AE1E3" w14:textId="465B39F9" w:rsidR="006263F2" w:rsidRPr="006263F2" w:rsidRDefault="006263F2" w:rsidP="006263F2">
      <w:pPr>
        <w:pStyle w:val="ListParagraph"/>
        <w:numPr>
          <w:ilvl w:val="0"/>
          <w:numId w:val="18"/>
        </w:numPr>
      </w:pPr>
      <w:r>
        <w:t>E</w:t>
      </w:r>
      <w:r w:rsidRPr="006263F2">
        <w:t xml:space="preserve">nergy storing devices, such as batteries, springs, flywheels, </w:t>
      </w:r>
      <w:proofErr w:type="gramStart"/>
      <w:r w:rsidRPr="006263F2">
        <w:t>accumulators</w:t>
      </w:r>
      <w:proofErr w:type="gramEnd"/>
      <w:r w:rsidRPr="006263F2">
        <w:t xml:space="preserve"> and capacitors gravity </w:t>
      </w:r>
    </w:p>
    <w:p w14:paraId="4E44CA5A" w14:textId="35F2350C" w:rsidR="00ED560C" w:rsidRDefault="00A76263" w:rsidP="00A76263">
      <w:pPr>
        <w:pStyle w:val="Heading1"/>
      </w:pPr>
      <w:r>
        <w:lastRenderedPageBreak/>
        <w:t>Lock Out Tag Out Procedure</w:t>
      </w:r>
    </w:p>
    <w:p w14:paraId="2B03C994" w14:textId="7764436B" w:rsidR="00ED560C" w:rsidRDefault="00ED560C" w:rsidP="00ED560C">
      <w:pPr>
        <w:ind w:right="134"/>
      </w:pPr>
      <w:r>
        <w:t>The manager of the area has a duty of care to ensure that they:</w:t>
      </w:r>
      <w:r>
        <w:rPr>
          <w:rFonts w:ascii="Arial" w:eastAsia="Arial" w:hAnsi="Arial" w:cs="Arial"/>
          <w:b/>
          <w:color w:val="FFFFFF"/>
        </w:rPr>
        <w:t xml:space="preserve"> </w:t>
      </w:r>
    </w:p>
    <w:p w14:paraId="486B5618" w14:textId="77777777" w:rsidR="00A76263" w:rsidRDefault="00ED560C" w:rsidP="00A76263">
      <w:pPr>
        <w:pStyle w:val="ListParagraph"/>
        <w:numPr>
          <w:ilvl w:val="0"/>
          <w:numId w:val="12"/>
        </w:numPr>
      </w:pPr>
      <w:r w:rsidRPr="00A76263">
        <w:t>Identify all relevant items of plant and all hazards associated with each item.</w:t>
      </w:r>
    </w:p>
    <w:p w14:paraId="75434C23" w14:textId="77777777" w:rsidR="00A76263" w:rsidRDefault="00ED560C" w:rsidP="00A76263">
      <w:pPr>
        <w:pStyle w:val="ListParagraph"/>
        <w:numPr>
          <w:ilvl w:val="0"/>
          <w:numId w:val="12"/>
        </w:numPr>
      </w:pPr>
      <w:r w:rsidRPr="00A76263">
        <w:t>Identify energy sources for each item of plant, including multiple energy sources such as electrical, fluids under pressure, fuels, etc.</w:t>
      </w:r>
    </w:p>
    <w:p w14:paraId="1E15A40E" w14:textId="77777777" w:rsidR="00A76263" w:rsidRDefault="00ED560C" w:rsidP="00A76263">
      <w:pPr>
        <w:pStyle w:val="ListParagraph"/>
        <w:numPr>
          <w:ilvl w:val="0"/>
          <w:numId w:val="12"/>
        </w:numPr>
      </w:pPr>
      <w:r w:rsidRPr="00A76263">
        <w:t>Authorise one or more employees (</w:t>
      </w:r>
      <w:proofErr w:type="spellStart"/>
      <w:r w:rsidRPr="00A76263">
        <w:t>eg</w:t>
      </w:r>
      <w:proofErr w:type="spellEnd"/>
      <w:r w:rsidRPr="00A76263">
        <w:t xml:space="preserve"> plant operator, supervisor, maintenance person) who must, if it is practicable to do so:</w:t>
      </w:r>
    </w:p>
    <w:p w14:paraId="56F7BE1B" w14:textId="77777777" w:rsidR="00A76263" w:rsidRDefault="00ED560C" w:rsidP="00A76263">
      <w:pPr>
        <w:pStyle w:val="ListParagraph"/>
        <w:numPr>
          <w:ilvl w:val="1"/>
          <w:numId w:val="12"/>
        </w:numPr>
      </w:pPr>
      <w:r w:rsidRPr="00A76263">
        <w:t>stop the plant, before the above work is carried out.</w:t>
      </w:r>
    </w:p>
    <w:p w14:paraId="4277A4EB" w14:textId="77777777" w:rsidR="00A76263" w:rsidRDefault="00ED560C" w:rsidP="00A76263">
      <w:pPr>
        <w:pStyle w:val="ListParagraph"/>
        <w:numPr>
          <w:ilvl w:val="1"/>
          <w:numId w:val="12"/>
        </w:numPr>
      </w:pPr>
      <w:r w:rsidRPr="00A76263">
        <w:t>ensure that risks associated with identified hazards are reduced; and</w:t>
      </w:r>
    </w:p>
    <w:p w14:paraId="3CF6120D" w14:textId="318E7DAA" w:rsidR="00ED560C" w:rsidRPr="00A76263" w:rsidRDefault="00ED560C" w:rsidP="00A76263">
      <w:pPr>
        <w:pStyle w:val="ListParagraph"/>
        <w:numPr>
          <w:ilvl w:val="1"/>
          <w:numId w:val="12"/>
        </w:numPr>
      </w:pPr>
      <w:r w:rsidRPr="00A76263">
        <w:t xml:space="preserve">ensure the procedure for isolation/lock-out tag-out below is followed. </w:t>
      </w:r>
    </w:p>
    <w:p w14:paraId="17402FE3" w14:textId="45D53912" w:rsidR="00ED560C" w:rsidRDefault="00ED560C" w:rsidP="00580378">
      <w:pPr>
        <w:spacing w:after="19" w:line="259" w:lineRule="auto"/>
        <w:ind w:left="34"/>
      </w:pPr>
      <w:r>
        <w:t xml:space="preserve">Employees are required to reduce the risk of exposure to dangerous parts of plant and exposure to possible sources of stored energy during operation/maintenance/servicing.  </w:t>
      </w:r>
    </w:p>
    <w:p w14:paraId="2D8AF4D2" w14:textId="77777777" w:rsidR="00A76263" w:rsidRDefault="00ED560C" w:rsidP="00A76263">
      <w:r>
        <w:t>Safety locks, tags and isolation procedures are required where plant:</w:t>
      </w:r>
    </w:p>
    <w:p w14:paraId="56FA4EAD" w14:textId="77777777" w:rsidR="00A76263" w:rsidRDefault="00ED560C" w:rsidP="00A76263">
      <w:pPr>
        <w:pStyle w:val="ListParagraph"/>
        <w:numPr>
          <w:ilvl w:val="0"/>
          <w:numId w:val="13"/>
        </w:numPr>
        <w:spacing w:after="280"/>
        <w:ind w:right="134"/>
      </w:pPr>
      <w:r w:rsidRPr="00A76263">
        <w:t>Is in a dangerous condition</w:t>
      </w:r>
    </w:p>
    <w:p w14:paraId="341BEBA0" w14:textId="77777777" w:rsidR="00A76263" w:rsidRDefault="00ED560C" w:rsidP="00A76263">
      <w:pPr>
        <w:pStyle w:val="ListParagraph"/>
        <w:numPr>
          <w:ilvl w:val="0"/>
          <w:numId w:val="13"/>
        </w:numPr>
        <w:spacing w:after="280"/>
        <w:ind w:right="134"/>
      </w:pPr>
      <w:r w:rsidRPr="00A76263">
        <w:t>Is being maintained</w:t>
      </w:r>
    </w:p>
    <w:p w14:paraId="6FA0B6FA" w14:textId="77777777" w:rsidR="00A76263" w:rsidRDefault="00ED560C" w:rsidP="00A76263">
      <w:pPr>
        <w:pStyle w:val="ListParagraph"/>
        <w:numPr>
          <w:ilvl w:val="0"/>
          <w:numId w:val="13"/>
        </w:numPr>
        <w:spacing w:after="280"/>
        <w:ind w:right="134"/>
      </w:pPr>
      <w:r w:rsidRPr="00A76263">
        <w:t>Has not been completely installed/commissioned</w:t>
      </w:r>
    </w:p>
    <w:p w14:paraId="60771F96" w14:textId="0DD3AD5D" w:rsidR="00ED560C" w:rsidRPr="00A76263" w:rsidRDefault="00ED560C" w:rsidP="00A76263">
      <w:pPr>
        <w:pStyle w:val="ListParagraph"/>
        <w:numPr>
          <w:ilvl w:val="0"/>
          <w:numId w:val="13"/>
        </w:numPr>
        <w:spacing w:after="280"/>
        <w:ind w:right="134"/>
      </w:pPr>
      <w:r w:rsidRPr="00A76263">
        <w:t>Is out of service for repair or alteration</w:t>
      </w:r>
    </w:p>
    <w:p w14:paraId="06B47F56" w14:textId="4B10FB29" w:rsidR="00ED560C" w:rsidRDefault="00ED560C" w:rsidP="00A76263">
      <w:pPr>
        <w:spacing w:after="17" w:line="259" w:lineRule="auto"/>
        <w:ind w:left="33"/>
      </w:pPr>
      <w:r>
        <w:t>It is important to note that a tag is NOT in itself an effective isolation device. A tag acts only as a means of providing information to others at the workplace. When practicable, a lock must be used in preference to a tag as an isolation device.</w:t>
      </w:r>
    </w:p>
    <w:p w14:paraId="658026EA" w14:textId="77777777" w:rsidR="00A76263" w:rsidRDefault="00A76263" w:rsidP="00A76263">
      <w:pPr>
        <w:spacing w:after="17" w:line="259" w:lineRule="auto"/>
        <w:ind w:left="33"/>
      </w:pPr>
    </w:p>
    <w:p w14:paraId="5585CCF9" w14:textId="63CE7925" w:rsidR="00ED560C" w:rsidRDefault="00ED560C" w:rsidP="00ED560C">
      <w:pPr>
        <w:pStyle w:val="Heading2"/>
        <w:ind w:left="29"/>
      </w:pPr>
      <w:r>
        <w:t xml:space="preserve">LOCKING OUT </w:t>
      </w:r>
      <w:r w:rsidR="00A76263">
        <w:t>Procedure</w:t>
      </w:r>
    </w:p>
    <w:p w14:paraId="0FEE8E35" w14:textId="77777777" w:rsidR="00A76263" w:rsidRDefault="00ED560C" w:rsidP="00A76263">
      <w:pPr>
        <w:pStyle w:val="ListParagraph"/>
        <w:numPr>
          <w:ilvl w:val="0"/>
          <w:numId w:val="14"/>
        </w:numPr>
      </w:pPr>
      <w:r w:rsidRPr="00A76263">
        <w:t>The lock-out device is to be attached at the isolation point of the energy sources and must effectively prevent the isolation point from being operated in any way.</w:t>
      </w:r>
    </w:p>
    <w:p w14:paraId="35639BAE" w14:textId="77777777" w:rsidR="00A76263" w:rsidRDefault="00ED560C" w:rsidP="00A76263">
      <w:pPr>
        <w:pStyle w:val="ListParagraph"/>
        <w:numPr>
          <w:ilvl w:val="0"/>
          <w:numId w:val="14"/>
        </w:numPr>
      </w:pPr>
      <w:r w:rsidRPr="00A76263">
        <w:t>The authorised person who locks out the plant retains the key to the safety lock or ignition.</w:t>
      </w:r>
    </w:p>
    <w:p w14:paraId="4354038F" w14:textId="77777777" w:rsidR="00A76263" w:rsidRDefault="00ED560C" w:rsidP="00A76263">
      <w:pPr>
        <w:pStyle w:val="ListParagraph"/>
        <w:numPr>
          <w:ilvl w:val="0"/>
          <w:numId w:val="14"/>
        </w:numPr>
      </w:pPr>
      <w:r w:rsidRPr="00A76263">
        <w:t>Any stored energy in the locked-out plant must be discharged before any work can commence.</w:t>
      </w:r>
    </w:p>
    <w:p w14:paraId="777C9E3E" w14:textId="77777777" w:rsidR="00A76263" w:rsidRDefault="00ED560C" w:rsidP="00A76263">
      <w:pPr>
        <w:pStyle w:val="ListParagraph"/>
        <w:numPr>
          <w:ilvl w:val="0"/>
          <w:numId w:val="14"/>
        </w:numPr>
      </w:pPr>
      <w:r w:rsidRPr="00A76263">
        <w:t>If more than one person is working on the same plant, each person must attach their own lock to prevent the isolator being opened before all locks have been removed or opened.</w:t>
      </w:r>
    </w:p>
    <w:p w14:paraId="3862A7F0" w14:textId="77777777" w:rsidR="00A76263" w:rsidRDefault="00A76263" w:rsidP="00A76263">
      <w:pPr>
        <w:pStyle w:val="ListParagraph"/>
        <w:numPr>
          <w:ilvl w:val="0"/>
          <w:numId w:val="14"/>
        </w:numPr>
      </w:pPr>
      <w:r>
        <w:t>T</w:t>
      </w:r>
      <w:r w:rsidR="00ED560C" w:rsidRPr="00A76263">
        <w:t>he isolation procedure should identify common lock out points to ensure energy cannot be restored while someone is still working on the plant.</w:t>
      </w:r>
    </w:p>
    <w:p w14:paraId="1964C5D1" w14:textId="77777777" w:rsidR="00A76263" w:rsidRDefault="00ED560C" w:rsidP="00A76263">
      <w:pPr>
        <w:pStyle w:val="ListParagraph"/>
        <w:numPr>
          <w:ilvl w:val="0"/>
          <w:numId w:val="14"/>
        </w:numPr>
      </w:pPr>
      <w:r w:rsidRPr="00A76263">
        <w:t>If at the end of the work period the job is not completed, the out-of-service tag is to be left on the plant</w:t>
      </w:r>
      <w:r w:rsidR="00A76263">
        <w:t xml:space="preserve"> (see below)</w:t>
      </w:r>
      <w:r w:rsidRPr="00A76263">
        <w:t>.</w:t>
      </w:r>
    </w:p>
    <w:p w14:paraId="593492E9" w14:textId="55368A44" w:rsidR="00ED560C" w:rsidRDefault="00ED560C" w:rsidP="00A76263">
      <w:pPr>
        <w:pStyle w:val="ListParagraph"/>
        <w:numPr>
          <w:ilvl w:val="0"/>
          <w:numId w:val="14"/>
        </w:numPr>
      </w:pPr>
      <w:r w:rsidRPr="00A76263">
        <w:t>Plant should be locked out whenever staff work near dangerous parts that have not been guarded due to the location, and whenever guards are removed for maintenance or repair.</w:t>
      </w:r>
    </w:p>
    <w:p w14:paraId="28634725" w14:textId="1FFB4CEB" w:rsidR="00A76263" w:rsidRDefault="00A76263" w:rsidP="00A76263"/>
    <w:p w14:paraId="06C2A3FF" w14:textId="741A3231" w:rsidR="00580378" w:rsidRDefault="00580378" w:rsidP="00A76263"/>
    <w:p w14:paraId="2C0489B9" w14:textId="77777777" w:rsidR="00580378" w:rsidRPr="00A76263" w:rsidRDefault="00580378" w:rsidP="00A76263"/>
    <w:p w14:paraId="50F4CABD" w14:textId="048C7CDB" w:rsidR="00ED560C" w:rsidRDefault="00ED560C" w:rsidP="00ED560C">
      <w:pPr>
        <w:pStyle w:val="Heading2"/>
        <w:ind w:left="29"/>
      </w:pPr>
      <w:r>
        <w:lastRenderedPageBreak/>
        <w:t>OUT OF SERVICE TAG</w:t>
      </w:r>
      <w:r w:rsidR="00A76263">
        <w:t xml:space="preserve"> Procedure</w:t>
      </w:r>
      <w:r>
        <w:t xml:space="preserve"> </w:t>
      </w:r>
    </w:p>
    <w:p w14:paraId="6D7E201F" w14:textId="77777777" w:rsidR="00A76263" w:rsidRDefault="00ED560C" w:rsidP="00A76263">
      <w:pPr>
        <w:pStyle w:val="ListParagraph"/>
        <w:numPr>
          <w:ilvl w:val="0"/>
          <w:numId w:val="15"/>
        </w:numPr>
      </w:pPr>
      <w:r w:rsidRPr="00A76263">
        <w:t>A yellow and black out of service tag on a piece of plant indicates that it is unserviceable and should not be used.</w:t>
      </w:r>
    </w:p>
    <w:p w14:paraId="61689C3E" w14:textId="77777777" w:rsidR="00A76263" w:rsidRDefault="00ED560C" w:rsidP="00A76263">
      <w:pPr>
        <w:pStyle w:val="ListParagraph"/>
        <w:numPr>
          <w:ilvl w:val="0"/>
          <w:numId w:val="15"/>
        </w:numPr>
      </w:pPr>
      <w:r w:rsidRPr="00A76263">
        <w:t xml:space="preserve">These tags serve to indicate plant that is out of service for repairs, maintenance, cleaning, or being installed etc. A piece of plant fitted with an out of service tag must not be operated while the tag is in place. </w:t>
      </w:r>
    </w:p>
    <w:p w14:paraId="3F2C8743" w14:textId="77777777" w:rsidR="00A76263" w:rsidRDefault="00ED560C" w:rsidP="00A76263">
      <w:pPr>
        <w:pStyle w:val="ListParagraph"/>
        <w:numPr>
          <w:ilvl w:val="0"/>
          <w:numId w:val="15"/>
        </w:numPr>
      </w:pPr>
      <w:r w:rsidRPr="00A76263">
        <w:t>Prior to attaching an out of service tag, all required details on the tag must be clearly and permanently entered in the spaces provided, with emphasis given to the reason for placing the tag.</w:t>
      </w:r>
    </w:p>
    <w:p w14:paraId="1EC0DC24" w14:textId="77777777" w:rsidR="00A76263" w:rsidRDefault="00ED560C" w:rsidP="00A76263">
      <w:pPr>
        <w:pStyle w:val="ListParagraph"/>
        <w:numPr>
          <w:ilvl w:val="0"/>
          <w:numId w:val="15"/>
        </w:numPr>
      </w:pPr>
      <w:r w:rsidRPr="00A76263">
        <w:t>Tags must be securely fixed and be clearly visible.</w:t>
      </w:r>
    </w:p>
    <w:p w14:paraId="0EA6C96E" w14:textId="77777777" w:rsidR="00A76263" w:rsidRDefault="00ED560C" w:rsidP="00A76263">
      <w:pPr>
        <w:pStyle w:val="ListParagraph"/>
        <w:numPr>
          <w:ilvl w:val="0"/>
          <w:numId w:val="15"/>
        </w:numPr>
      </w:pPr>
      <w:r w:rsidRPr="00A76263">
        <w:t>If at the end of the work period the job is not completed, the out-of-service tag is to be left on the plant.</w:t>
      </w:r>
    </w:p>
    <w:p w14:paraId="07DE6AA3" w14:textId="00F33E39" w:rsidR="00ED560C" w:rsidRDefault="00ED560C" w:rsidP="00A76263">
      <w:pPr>
        <w:pStyle w:val="ListParagraph"/>
        <w:numPr>
          <w:ilvl w:val="0"/>
          <w:numId w:val="15"/>
        </w:numPr>
      </w:pPr>
      <w:r w:rsidRPr="00A76263">
        <w:t xml:space="preserve">Out of service tags should be removed only by an authorised person who is both familiar with the equipment and fully aware of the reason that the tag was placed, except in </w:t>
      </w:r>
      <w:proofErr w:type="gramStart"/>
      <w:r w:rsidRPr="00A76263">
        <w:t>an emergency situation</w:t>
      </w:r>
      <w:proofErr w:type="gramEnd"/>
      <w:r w:rsidRPr="00A76263">
        <w:t>.</w:t>
      </w:r>
      <w:r>
        <w:t xml:space="preserve"> </w:t>
      </w:r>
    </w:p>
    <w:p w14:paraId="67A6D786" w14:textId="3807F2DC" w:rsidR="00ED560C" w:rsidRDefault="00ED560C" w:rsidP="00A76263">
      <w:pPr>
        <w:spacing w:after="137" w:line="259" w:lineRule="auto"/>
        <w:ind w:left="34"/>
      </w:pPr>
      <w:r>
        <w:t xml:space="preserve">  </w:t>
      </w:r>
    </w:p>
    <w:p w14:paraId="06A72D57" w14:textId="54EAD11C" w:rsidR="00ED560C" w:rsidRDefault="00ED560C" w:rsidP="00A76263">
      <w:pPr>
        <w:pStyle w:val="Heading2"/>
        <w:ind w:left="29"/>
      </w:pPr>
      <w:r>
        <w:t xml:space="preserve">PERSONAL DANGER TAG </w:t>
      </w:r>
      <w:r w:rsidR="00A76263">
        <w:t>Procedure</w:t>
      </w:r>
    </w:p>
    <w:p w14:paraId="0B2FEEDE" w14:textId="77777777" w:rsidR="00A76263" w:rsidRDefault="00ED560C" w:rsidP="00A76263">
      <w:pPr>
        <w:pStyle w:val="ListParagraph"/>
        <w:numPr>
          <w:ilvl w:val="0"/>
          <w:numId w:val="16"/>
        </w:numPr>
      </w:pPr>
      <w:r w:rsidRPr="00A76263">
        <w:t>A red and white personal danger tag should be used whenever work is required to be undertaken in or about equipment or machinery that could cause injury.</w:t>
      </w:r>
    </w:p>
    <w:p w14:paraId="469F98E8" w14:textId="77777777" w:rsidR="00A76263" w:rsidRDefault="00ED560C" w:rsidP="00A76263">
      <w:pPr>
        <w:pStyle w:val="ListParagraph"/>
        <w:numPr>
          <w:ilvl w:val="0"/>
          <w:numId w:val="16"/>
        </w:numPr>
      </w:pPr>
      <w:r w:rsidRPr="00A76263">
        <w:t>A tag acts only as a means of providing information to others at the workplace. When practicable, a lock must be used in preference to a tag as an isolation device.</w:t>
      </w:r>
    </w:p>
    <w:p w14:paraId="5B60E7EB" w14:textId="77777777" w:rsidR="00A76263" w:rsidRDefault="00ED560C" w:rsidP="00A76263">
      <w:pPr>
        <w:pStyle w:val="ListParagraph"/>
        <w:numPr>
          <w:ilvl w:val="0"/>
          <w:numId w:val="16"/>
        </w:numPr>
      </w:pPr>
      <w:r w:rsidRPr="00A76263">
        <w:t xml:space="preserve">These tags should be restricted to people who will be working on the equipment. These tags should only be applied by suitably skilled, </w:t>
      </w:r>
      <w:proofErr w:type="gramStart"/>
      <w:r w:rsidRPr="00A76263">
        <w:t>experienced</w:t>
      </w:r>
      <w:proofErr w:type="gramEnd"/>
      <w:r w:rsidRPr="00A76263">
        <w:t xml:space="preserve"> and authorised personnel.</w:t>
      </w:r>
    </w:p>
    <w:p w14:paraId="3BFE9CFB" w14:textId="77777777" w:rsidR="00A76263" w:rsidRDefault="00ED560C" w:rsidP="00A76263">
      <w:pPr>
        <w:pStyle w:val="ListParagraph"/>
        <w:numPr>
          <w:ilvl w:val="0"/>
          <w:numId w:val="16"/>
        </w:numPr>
      </w:pPr>
      <w:r w:rsidRPr="00A76263">
        <w:t>The person doing the work must personally fasten their personal danger tag on all lockout devices involved in the isolation procedure.</w:t>
      </w:r>
    </w:p>
    <w:p w14:paraId="6B1C68B9" w14:textId="77777777" w:rsidR="00A76263" w:rsidRDefault="00ED560C" w:rsidP="00A76263">
      <w:pPr>
        <w:pStyle w:val="ListParagraph"/>
        <w:numPr>
          <w:ilvl w:val="0"/>
          <w:numId w:val="16"/>
        </w:numPr>
      </w:pPr>
      <w:r w:rsidRPr="00A76263">
        <w:t>Removal of a personal danger tag from an isolating device must be carried out as soon as practicable after completing the work. In every case a personal danger tag must be removed before leaving the worksite at the end of the shift.</w:t>
      </w:r>
    </w:p>
    <w:p w14:paraId="6FB4733F" w14:textId="77777777" w:rsidR="00A76263" w:rsidRDefault="00ED560C" w:rsidP="00A76263">
      <w:pPr>
        <w:pStyle w:val="ListParagraph"/>
        <w:numPr>
          <w:ilvl w:val="0"/>
          <w:numId w:val="16"/>
        </w:numPr>
      </w:pPr>
      <w:r w:rsidRPr="00A76263">
        <w:t>A personal danger tag should be removed only by the person whose name is written on the tag.</w:t>
      </w:r>
    </w:p>
    <w:p w14:paraId="11F7D7C0" w14:textId="77777777" w:rsidR="00A76263" w:rsidRDefault="00ED560C" w:rsidP="00A76263">
      <w:pPr>
        <w:pStyle w:val="ListParagraph"/>
        <w:numPr>
          <w:ilvl w:val="0"/>
          <w:numId w:val="16"/>
        </w:numPr>
      </w:pPr>
      <w:r w:rsidRPr="00A76263">
        <w:t xml:space="preserve">The Out-of-Service tag must be left </w:t>
      </w:r>
      <w:proofErr w:type="gramStart"/>
      <w:r w:rsidRPr="00A76263">
        <w:t>attached, unless</w:t>
      </w:r>
      <w:proofErr w:type="gramEnd"/>
      <w:r w:rsidRPr="00A76263">
        <w:t xml:space="preserve"> the plant is safe to return to service.</w:t>
      </w:r>
    </w:p>
    <w:p w14:paraId="73329169" w14:textId="452444DD" w:rsidR="00A76263" w:rsidRDefault="00ED560C" w:rsidP="00A76263">
      <w:pPr>
        <w:pStyle w:val="ListParagraph"/>
        <w:numPr>
          <w:ilvl w:val="0"/>
          <w:numId w:val="16"/>
        </w:numPr>
      </w:pPr>
      <w:r w:rsidRPr="00A76263">
        <w:t>All disposable personal danger tags must be destroyed after use.</w:t>
      </w:r>
    </w:p>
    <w:p w14:paraId="1B72B724" w14:textId="1F6A2E14" w:rsidR="00580378" w:rsidRDefault="00580378" w:rsidP="00580378"/>
    <w:p w14:paraId="477677BA" w14:textId="26DBF8D5" w:rsidR="00580378" w:rsidRDefault="00580378" w:rsidP="00580378"/>
    <w:p w14:paraId="5FE5CA2F" w14:textId="0D8A5FDE" w:rsidR="00580378" w:rsidRDefault="00580378" w:rsidP="00580378"/>
    <w:p w14:paraId="108C859E" w14:textId="79EEBA30" w:rsidR="00580378" w:rsidRDefault="00580378" w:rsidP="00580378"/>
    <w:p w14:paraId="5669C1B1" w14:textId="32387FB0" w:rsidR="00580378" w:rsidRDefault="00580378" w:rsidP="00580378"/>
    <w:p w14:paraId="3C875B5A" w14:textId="77777777" w:rsidR="00580378" w:rsidRPr="00A76263" w:rsidRDefault="00580378" w:rsidP="00580378"/>
    <w:p w14:paraId="0213BB2C" w14:textId="6C1CA36F" w:rsidR="00ED560C" w:rsidRDefault="00ED560C" w:rsidP="00A76263">
      <w:pPr>
        <w:spacing w:before="0" w:line="269" w:lineRule="auto"/>
        <w:ind w:right="134"/>
        <w:jc w:val="both"/>
      </w:pPr>
      <w:r>
        <w:t xml:space="preserve"> </w:t>
      </w:r>
    </w:p>
    <w:p w14:paraId="21B6CC7E" w14:textId="03FFC3FF" w:rsidR="00A76263" w:rsidRDefault="00A76263" w:rsidP="00A76263">
      <w:pPr>
        <w:pStyle w:val="Heading1"/>
      </w:pPr>
      <w:r>
        <w:lastRenderedPageBreak/>
        <w:t>Isolation Procedures</w:t>
      </w:r>
    </w:p>
    <w:p w14:paraId="237BD2BE" w14:textId="77777777" w:rsidR="00A76263" w:rsidRDefault="00ED560C" w:rsidP="00A76263">
      <w:pPr>
        <w:pStyle w:val="ListParagraph"/>
        <w:numPr>
          <w:ilvl w:val="0"/>
          <w:numId w:val="17"/>
        </w:numPr>
      </w:pPr>
      <w:r w:rsidRPr="00A76263">
        <w:t xml:space="preserve">There must be an isolation procedure for each item of plant, including the application of isolation devices, </w:t>
      </w:r>
      <w:proofErr w:type="gramStart"/>
      <w:r w:rsidRPr="00A76263">
        <w:t>locks</w:t>
      </w:r>
      <w:proofErr w:type="gramEnd"/>
      <w:r w:rsidRPr="00A76263">
        <w:t xml:space="preserve"> and tags.</w:t>
      </w:r>
    </w:p>
    <w:p w14:paraId="35FBDC34" w14:textId="77777777" w:rsidR="006263F2" w:rsidRDefault="00ED560C" w:rsidP="00A76263">
      <w:pPr>
        <w:pStyle w:val="ListParagraph"/>
        <w:numPr>
          <w:ilvl w:val="0"/>
          <w:numId w:val="17"/>
        </w:numPr>
      </w:pPr>
      <w:r w:rsidRPr="00A76263">
        <w:t>The isolation procedure should be displayed in a prominent position as close to the plant as possible.</w:t>
      </w:r>
    </w:p>
    <w:p w14:paraId="3601A951" w14:textId="77777777" w:rsidR="006263F2" w:rsidRDefault="00ED560C" w:rsidP="00A76263">
      <w:pPr>
        <w:pStyle w:val="ListParagraph"/>
        <w:numPr>
          <w:ilvl w:val="0"/>
          <w:numId w:val="17"/>
        </w:numPr>
      </w:pPr>
      <w:r w:rsidRPr="00A76263">
        <w:t>While isolation procedures may vary in detail because of differences in plant, power sources, hazards and processes, the employee(s) authorised by the employer must ensure that the isolation/ lock-out tag-out procedure below is followed:</w:t>
      </w:r>
    </w:p>
    <w:p w14:paraId="1745D6A9" w14:textId="77777777" w:rsidR="006263F2" w:rsidRDefault="00ED560C" w:rsidP="00A76263">
      <w:pPr>
        <w:pStyle w:val="ListParagraph"/>
        <w:numPr>
          <w:ilvl w:val="1"/>
          <w:numId w:val="17"/>
        </w:numPr>
      </w:pPr>
      <w:r w:rsidRPr="00A76263">
        <w:t>The plant is stopped/shut down.</w:t>
      </w:r>
    </w:p>
    <w:p w14:paraId="74F453CD" w14:textId="77777777" w:rsidR="006263F2" w:rsidRDefault="00ED560C" w:rsidP="00A76263">
      <w:pPr>
        <w:pStyle w:val="ListParagraph"/>
        <w:numPr>
          <w:ilvl w:val="1"/>
          <w:numId w:val="17"/>
        </w:numPr>
      </w:pPr>
      <w:r w:rsidRPr="00A76263">
        <w:t>All energy sources are de-energised.</w:t>
      </w:r>
    </w:p>
    <w:p w14:paraId="12CFB3FC" w14:textId="22926600" w:rsidR="006263F2" w:rsidRDefault="00ED560C" w:rsidP="00A76263">
      <w:pPr>
        <w:pStyle w:val="ListParagraph"/>
        <w:numPr>
          <w:ilvl w:val="1"/>
          <w:numId w:val="17"/>
        </w:numPr>
      </w:pPr>
      <w:r w:rsidRPr="00A76263">
        <w:t>All energy sources are isolated using an isolation device and locked out using a lockout device</w:t>
      </w:r>
      <w:r w:rsidR="006263F2">
        <w:t>, noting that –</w:t>
      </w:r>
    </w:p>
    <w:p w14:paraId="18CF84F3" w14:textId="77777777" w:rsidR="006263F2" w:rsidRDefault="00ED560C" w:rsidP="00A76263">
      <w:pPr>
        <w:pStyle w:val="ListParagraph"/>
        <w:numPr>
          <w:ilvl w:val="2"/>
          <w:numId w:val="17"/>
        </w:numPr>
      </w:pPr>
      <w:r w:rsidRPr="00A76263">
        <w:t>all common lock-out points have been identified to ensure energy cannot be restored while someone is still working on the plant; and</w:t>
      </w:r>
    </w:p>
    <w:p w14:paraId="5B5B7F35" w14:textId="77777777" w:rsidR="006263F2" w:rsidRDefault="00ED560C" w:rsidP="00A76263">
      <w:pPr>
        <w:pStyle w:val="ListParagraph"/>
        <w:numPr>
          <w:ilvl w:val="2"/>
          <w:numId w:val="17"/>
        </w:numPr>
      </w:pPr>
      <w:r w:rsidRPr="00A76263">
        <w:t>if more than one person carries out the work, consider a multiple lock system so that each person can attach their own ‘personal’ lock to prevent the plant is operated before all locks have been removed.</w:t>
      </w:r>
    </w:p>
    <w:p w14:paraId="067C10C3" w14:textId="77777777" w:rsidR="006263F2" w:rsidRDefault="00ED560C" w:rsidP="00A76263">
      <w:pPr>
        <w:pStyle w:val="ListParagraph"/>
        <w:numPr>
          <w:ilvl w:val="1"/>
          <w:numId w:val="17"/>
        </w:numPr>
      </w:pPr>
      <w:r w:rsidRPr="00A76263">
        <w:t>An out of service tag is fixed to the plant.</w:t>
      </w:r>
    </w:p>
    <w:p w14:paraId="4237BBE9" w14:textId="77777777" w:rsidR="006263F2" w:rsidRDefault="00ED560C" w:rsidP="00A76263">
      <w:pPr>
        <w:pStyle w:val="ListParagraph"/>
        <w:numPr>
          <w:ilvl w:val="1"/>
          <w:numId w:val="17"/>
        </w:numPr>
      </w:pPr>
      <w:r w:rsidRPr="00A76263">
        <w:t>Danger tags are fixed at the energy sources and the operating controls of the plant.</w:t>
      </w:r>
    </w:p>
    <w:p w14:paraId="14F1369A" w14:textId="77777777" w:rsidR="006263F2" w:rsidRDefault="00ED560C" w:rsidP="00A76263">
      <w:pPr>
        <w:pStyle w:val="ListParagraph"/>
        <w:numPr>
          <w:ilvl w:val="1"/>
          <w:numId w:val="17"/>
        </w:numPr>
      </w:pPr>
      <w:r w:rsidRPr="00A76263">
        <w:t>All other potential hazards are controlled.</w:t>
      </w:r>
    </w:p>
    <w:p w14:paraId="7E9A98D9" w14:textId="77777777" w:rsidR="006263F2" w:rsidRDefault="00ED560C" w:rsidP="00A76263">
      <w:pPr>
        <w:pStyle w:val="ListParagraph"/>
        <w:numPr>
          <w:ilvl w:val="1"/>
          <w:numId w:val="17"/>
        </w:numPr>
      </w:pPr>
      <w:r w:rsidRPr="00A76263">
        <w:t>Before any work is carried out, the plant is tested by trying to re-activate the plant, without exposing the tester or others to a risk.</w:t>
      </w:r>
    </w:p>
    <w:p w14:paraId="06D7BCB9" w14:textId="1F40A80D" w:rsidR="006263F2" w:rsidRDefault="00ED560C" w:rsidP="00A76263">
      <w:pPr>
        <w:pStyle w:val="ListParagraph"/>
        <w:numPr>
          <w:ilvl w:val="1"/>
          <w:numId w:val="17"/>
        </w:numPr>
      </w:pPr>
      <w:r w:rsidRPr="00A76263">
        <w:t>The work is carried out on the plant</w:t>
      </w:r>
    </w:p>
    <w:p w14:paraId="1ED540F7" w14:textId="11D4DF1F" w:rsidR="00ED560C" w:rsidRDefault="00ED560C" w:rsidP="00A76263">
      <w:pPr>
        <w:pStyle w:val="ListParagraph"/>
        <w:numPr>
          <w:ilvl w:val="1"/>
          <w:numId w:val="17"/>
        </w:numPr>
      </w:pPr>
      <w:r w:rsidRPr="00A76263">
        <w:t xml:space="preserve">Once the work is completed, the workers who tagged the controls remove the locks and tags and carry out the de-isolation </w:t>
      </w:r>
      <w:proofErr w:type="gramStart"/>
      <w:r w:rsidRPr="00A76263">
        <w:t>process, before</w:t>
      </w:r>
      <w:proofErr w:type="gramEnd"/>
      <w:r w:rsidRPr="00A76263">
        <w:t xml:space="preserve"> the plant is returned to operational status.</w:t>
      </w:r>
    </w:p>
    <w:p w14:paraId="2E805DD6" w14:textId="64BCF908" w:rsidR="006263F2" w:rsidRDefault="006263F2" w:rsidP="006263F2">
      <w:pPr>
        <w:pStyle w:val="ListParagraph"/>
        <w:numPr>
          <w:ilvl w:val="0"/>
          <w:numId w:val="17"/>
        </w:numPr>
      </w:pPr>
      <w:r>
        <w:t>If items of plant are hard-wired or where there are no isolation points, the following must be followed:</w:t>
      </w:r>
    </w:p>
    <w:p w14:paraId="40AA9FB8" w14:textId="606F7819" w:rsidR="006263F2" w:rsidRDefault="006263F2" w:rsidP="006263F2">
      <w:pPr>
        <w:pStyle w:val="ListParagraph"/>
        <w:numPr>
          <w:ilvl w:val="1"/>
          <w:numId w:val="17"/>
        </w:numPr>
      </w:pPr>
      <w:r>
        <w:t>The appropriate circuit on the switchboard is de-energised and locked out with a lock-out device; or</w:t>
      </w:r>
    </w:p>
    <w:p w14:paraId="2F5F4B4C" w14:textId="6A653520" w:rsidR="006263F2" w:rsidRDefault="006263F2" w:rsidP="006263F2">
      <w:pPr>
        <w:pStyle w:val="ListParagraph"/>
        <w:numPr>
          <w:ilvl w:val="1"/>
          <w:numId w:val="17"/>
        </w:numPr>
      </w:pPr>
      <w:r>
        <w:t>The appropriate circuit is de-</w:t>
      </w:r>
      <w:proofErr w:type="gramStart"/>
      <w:r>
        <w:t>energised</w:t>
      </w:r>
      <w:proofErr w:type="gramEnd"/>
      <w:r>
        <w:t xml:space="preserve"> and the switchboard cover is locked with a lock-out device.</w:t>
      </w:r>
    </w:p>
    <w:p w14:paraId="560680F7" w14:textId="77777777" w:rsidR="006263F2" w:rsidRPr="00A76263" w:rsidRDefault="006263F2" w:rsidP="006263F2"/>
    <w:p w14:paraId="1B190098" w14:textId="0D7243F2" w:rsidR="00ED560C" w:rsidRDefault="00ED560C" w:rsidP="00ED560C">
      <w:pPr>
        <w:pStyle w:val="Heading2"/>
        <w:ind w:left="29"/>
      </w:pPr>
      <w:r>
        <w:t xml:space="preserve">TESTING ISOLATION PROCEDURE </w:t>
      </w:r>
    </w:p>
    <w:p w14:paraId="2938967F" w14:textId="73A54B51" w:rsidR="00ED560C" w:rsidRDefault="00ED560C" w:rsidP="00ED560C">
      <w:pPr>
        <w:ind w:left="43" w:right="134"/>
      </w:pPr>
      <w:r>
        <w:t xml:space="preserve">After plant has been shut down, locked out and tagged, all isolated power sources should be tested, by trying to activate the plant, before any person attempts to start work on the plant.  </w:t>
      </w:r>
    </w:p>
    <w:p w14:paraId="7AF2405A" w14:textId="74D3F7F2" w:rsidR="00ED560C" w:rsidRDefault="00ED560C" w:rsidP="00ED560C">
      <w:pPr>
        <w:ind w:left="43" w:right="134"/>
      </w:pPr>
      <w:r>
        <w:t xml:space="preserve">This should be done by a person familiar with the plant to ensure isolation procedures have been effective. </w:t>
      </w:r>
    </w:p>
    <w:p w14:paraId="3A9BC211" w14:textId="2A44EBF6" w:rsidR="00ED560C" w:rsidRDefault="00ED560C" w:rsidP="00ED560C">
      <w:pPr>
        <w:spacing w:after="211" w:line="259" w:lineRule="auto"/>
        <w:ind w:right="115"/>
        <w:jc w:val="center"/>
        <w:rPr>
          <w:rFonts w:eastAsia="Arial" w:cstheme="minorHAnsi"/>
          <w:b/>
        </w:rPr>
      </w:pPr>
      <w:r w:rsidRPr="006263F2">
        <w:rPr>
          <w:rFonts w:eastAsia="Arial" w:cstheme="minorHAnsi"/>
          <w:b/>
        </w:rPr>
        <w:t>Work on the plant should not begin until the authorised person confirms it is safe to do so.</w:t>
      </w:r>
    </w:p>
    <w:p w14:paraId="311D063F" w14:textId="77777777" w:rsidR="006263F2" w:rsidRDefault="006263F2" w:rsidP="006263F2">
      <w:pPr>
        <w:spacing w:after="211" w:line="259" w:lineRule="auto"/>
        <w:ind w:right="115"/>
        <w:rPr>
          <w:rFonts w:eastAsia="Arial" w:cstheme="minorHAnsi"/>
          <w:b/>
        </w:rPr>
      </w:pPr>
    </w:p>
    <w:p w14:paraId="3BB958F1" w14:textId="02EC06ED" w:rsidR="00ED560C" w:rsidRDefault="00ED560C" w:rsidP="00ED560C">
      <w:pPr>
        <w:pStyle w:val="Heading2"/>
        <w:spacing w:after="319"/>
        <w:ind w:left="29"/>
      </w:pPr>
      <w:r>
        <w:lastRenderedPageBreak/>
        <w:t xml:space="preserve">DE-ISOLATING AND RE-INSTATING  </w:t>
      </w:r>
    </w:p>
    <w:p w14:paraId="5095EAE5" w14:textId="2B69D4BD" w:rsidR="00ED560C" w:rsidRDefault="00ED560C" w:rsidP="00ED560C">
      <w:pPr>
        <w:spacing w:after="249"/>
        <w:ind w:left="43" w:right="134"/>
      </w:pPr>
      <w:r>
        <w:t>The lock-out device may only be removed under certain conditions by an authorised person. An authorised person has determined that it is safe to de-isolate by:</w:t>
      </w:r>
    </w:p>
    <w:p w14:paraId="4FBC8E77" w14:textId="77777777" w:rsidR="00580378" w:rsidRDefault="00580378" w:rsidP="00580378">
      <w:pPr>
        <w:pStyle w:val="ListParagraph"/>
        <w:numPr>
          <w:ilvl w:val="0"/>
          <w:numId w:val="20"/>
        </w:numPr>
      </w:pPr>
      <w:r>
        <w:t>E</w:t>
      </w:r>
      <w:r w:rsidR="00ED560C" w:rsidRPr="00580378">
        <w:t>nsuring the installation, plant or equipment is safe to re-energise</w:t>
      </w:r>
    </w:p>
    <w:p w14:paraId="1D9373C7" w14:textId="77777777" w:rsidR="00580378" w:rsidRDefault="00580378" w:rsidP="00580378">
      <w:pPr>
        <w:pStyle w:val="ListParagraph"/>
        <w:numPr>
          <w:ilvl w:val="0"/>
          <w:numId w:val="20"/>
        </w:numPr>
      </w:pPr>
      <w:r>
        <w:t>N</w:t>
      </w:r>
      <w:r w:rsidR="00ED560C" w:rsidRPr="00580378">
        <w:t xml:space="preserve">otifying all relevant persons that the installation, </w:t>
      </w:r>
      <w:proofErr w:type="gramStart"/>
      <w:r w:rsidR="00ED560C" w:rsidRPr="00580378">
        <w:t>plant</w:t>
      </w:r>
      <w:proofErr w:type="gramEnd"/>
      <w:r w:rsidR="00ED560C" w:rsidRPr="00580378">
        <w:t xml:space="preserve"> or equipment is about to be reenergised</w:t>
      </w:r>
    </w:p>
    <w:p w14:paraId="45AA3C63" w14:textId="460A182B" w:rsidR="00ED560C" w:rsidRPr="00580378" w:rsidRDefault="00580378" w:rsidP="00580378">
      <w:pPr>
        <w:pStyle w:val="ListParagraph"/>
        <w:numPr>
          <w:ilvl w:val="0"/>
          <w:numId w:val="20"/>
        </w:numPr>
      </w:pPr>
      <w:r>
        <w:t>C</w:t>
      </w:r>
      <w:r w:rsidR="00ED560C" w:rsidRPr="00580378">
        <w:t xml:space="preserve">ompleting a visual inspection to determine that all tools, surplus </w:t>
      </w:r>
      <w:proofErr w:type="gramStart"/>
      <w:r w:rsidR="00ED560C" w:rsidRPr="00580378">
        <w:t>materials</w:t>
      </w:r>
      <w:proofErr w:type="gramEnd"/>
      <w:r w:rsidR="00ED560C" w:rsidRPr="00580378">
        <w:t xml:space="preserve"> and wastes have been removed</w:t>
      </w:r>
    </w:p>
    <w:p w14:paraId="2EDB8133" w14:textId="268EA70F" w:rsidR="00ED560C" w:rsidRDefault="00ED560C" w:rsidP="00ED560C">
      <w:pPr>
        <w:ind w:right="134"/>
      </w:pPr>
      <w:r>
        <w:t>Should authorisation need to be handed over to another person, all personal lock-out devices and danger tags must be replaced to identify the new authorised person.</w:t>
      </w:r>
    </w:p>
    <w:p w14:paraId="6AD10366" w14:textId="77777777" w:rsidR="00580378" w:rsidRDefault="00ED560C" w:rsidP="00580378">
      <w:pPr>
        <w:ind w:right="134"/>
      </w:pPr>
      <w:r>
        <w:t>Where the authorised person cannot remove the lock-out device or cannot hand over to another authorised person, the supervisor/manager may remove the lock-out device only after:</w:t>
      </w:r>
    </w:p>
    <w:p w14:paraId="6928DA73" w14:textId="77777777" w:rsidR="00580378" w:rsidRDefault="00580378" w:rsidP="00580378">
      <w:pPr>
        <w:pStyle w:val="ListParagraph"/>
        <w:numPr>
          <w:ilvl w:val="0"/>
          <w:numId w:val="21"/>
        </w:numPr>
        <w:ind w:right="134"/>
      </w:pPr>
      <w:r>
        <w:t>C</w:t>
      </w:r>
      <w:r w:rsidR="00ED560C" w:rsidRPr="00580378">
        <w:t>onfirming that the authorised person is not available</w:t>
      </w:r>
    </w:p>
    <w:p w14:paraId="418C38B7" w14:textId="77777777" w:rsidR="00580378" w:rsidRDefault="00580378" w:rsidP="00580378">
      <w:pPr>
        <w:pStyle w:val="ListParagraph"/>
        <w:numPr>
          <w:ilvl w:val="0"/>
          <w:numId w:val="21"/>
        </w:numPr>
        <w:ind w:right="134"/>
      </w:pPr>
      <w:r>
        <w:t>E</w:t>
      </w:r>
      <w:r w:rsidR="00ED560C" w:rsidRPr="00580378">
        <w:t xml:space="preserve">nsuring that no one is working on the installation, </w:t>
      </w:r>
      <w:proofErr w:type="gramStart"/>
      <w:r w:rsidR="00ED560C" w:rsidRPr="00580378">
        <w:t>plant</w:t>
      </w:r>
      <w:proofErr w:type="gramEnd"/>
      <w:r w:rsidR="00ED560C" w:rsidRPr="00580378">
        <w:t xml:space="preserve"> or equipment</w:t>
      </w:r>
    </w:p>
    <w:p w14:paraId="20FC1C4A" w14:textId="77777777" w:rsidR="00580378" w:rsidRDefault="00580378" w:rsidP="00580378">
      <w:pPr>
        <w:pStyle w:val="ListParagraph"/>
        <w:numPr>
          <w:ilvl w:val="0"/>
          <w:numId w:val="21"/>
        </w:numPr>
        <w:ind w:right="134"/>
      </w:pPr>
      <w:r>
        <w:t>E</w:t>
      </w:r>
      <w:r w:rsidR="00ED560C" w:rsidRPr="00580378">
        <w:t>ngaging with a suitably competent person to ensure that the de-isolation is safe by</w:t>
      </w:r>
      <w:r>
        <w:t>:</w:t>
      </w:r>
    </w:p>
    <w:p w14:paraId="6C123E00" w14:textId="77777777" w:rsidR="00580378" w:rsidRDefault="00580378" w:rsidP="00580378">
      <w:pPr>
        <w:pStyle w:val="ListParagraph"/>
        <w:numPr>
          <w:ilvl w:val="1"/>
          <w:numId w:val="21"/>
        </w:numPr>
        <w:ind w:right="134"/>
      </w:pPr>
      <w:r>
        <w:t>I</w:t>
      </w:r>
      <w:r w:rsidR="00ED560C" w:rsidRPr="00580378">
        <w:t>dentifying energy sources</w:t>
      </w:r>
    </w:p>
    <w:p w14:paraId="2446C36C" w14:textId="77777777" w:rsidR="00580378" w:rsidRDefault="00580378" w:rsidP="00580378">
      <w:pPr>
        <w:pStyle w:val="ListParagraph"/>
        <w:numPr>
          <w:ilvl w:val="1"/>
          <w:numId w:val="21"/>
        </w:numPr>
        <w:ind w:right="134"/>
      </w:pPr>
      <w:r>
        <w:t>C</w:t>
      </w:r>
      <w:r w:rsidR="00ED560C" w:rsidRPr="00580378">
        <w:t>ontrolling energy sources</w:t>
      </w:r>
    </w:p>
    <w:p w14:paraId="5C58AB4B" w14:textId="77777777" w:rsidR="00580378" w:rsidRDefault="00580378" w:rsidP="00580378">
      <w:pPr>
        <w:pStyle w:val="ListParagraph"/>
        <w:numPr>
          <w:ilvl w:val="1"/>
          <w:numId w:val="21"/>
        </w:numPr>
        <w:ind w:right="134"/>
      </w:pPr>
      <w:r>
        <w:t>C</w:t>
      </w:r>
      <w:r w:rsidR="00ED560C" w:rsidRPr="00580378">
        <w:t>omplying with this procedure</w:t>
      </w:r>
    </w:p>
    <w:p w14:paraId="3E3FABFB" w14:textId="006A23F5" w:rsidR="00ED560C" w:rsidRPr="00580378" w:rsidRDefault="00580378" w:rsidP="00580378">
      <w:pPr>
        <w:pStyle w:val="ListParagraph"/>
        <w:numPr>
          <w:ilvl w:val="1"/>
          <w:numId w:val="21"/>
        </w:numPr>
        <w:ind w:right="134"/>
      </w:pPr>
      <w:r>
        <w:t>C</w:t>
      </w:r>
      <w:r w:rsidR="00ED560C" w:rsidRPr="00580378">
        <w:t xml:space="preserve">omplying with </w:t>
      </w:r>
      <w:r>
        <w:t xml:space="preserve">any other </w:t>
      </w:r>
      <w:r w:rsidR="00ED560C" w:rsidRPr="00580378">
        <w:t>relevant procedures</w:t>
      </w:r>
      <w:r>
        <w:t xml:space="preserve"> for the plant being de-isolated</w:t>
      </w:r>
      <w:r w:rsidR="00ED560C" w:rsidRPr="00580378">
        <w:t xml:space="preserve">  </w:t>
      </w:r>
    </w:p>
    <w:p w14:paraId="6E8E89C4" w14:textId="10485773" w:rsidR="00ED560C" w:rsidRDefault="00ED560C" w:rsidP="00ED560C">
      <w:pPr>
        <w:spacing w:after="8"/>
        <w:ind w:right="134"/>
      </w:pPr>
      <w:r>
        <w:t xml:space="preserve"> </w:t>
      </w:r>
    </w:p>
    <w:p w14:paraId="5330CD0E" w14:textId="28D201FA" w:rsidR="00ED560C" w:rsidRDefault="00ED560C" w:rsidP="009E577F"/>
    <w:p w14:paraId="1BA2AEB6" w14:textId="4B153C41" w:rsidR="00580378" w:rsidRDefault="00580378" w:rsidP="009E577F"/>
    <w:p w14:paraId="08B5760A" w14:textId="347E0ABE" w:rsidR="00580378" w:rsidRDefault="00580378" w:rsidP="009E577F"/>
    <w:p w14:paraId="626EDBD6" w14:textId="51F47F27" w:rsidR="00580378" w:rsidRDefault="00580378" w:rsidP="009E577F"/>
    <w:p w14:paraId="2BBECFEA" w14:textId="523B0831" w:rsidR="00580378" w:rsidRDefault="00580378" w:rsidP="009E577F"/>
    <w:p w14:paraId="3DB624E1" w14:textId="0FB1A6DB" w:rsidR="00580378" w:rsidRDefault="00580378" w:rsidP="009E577F"/>
    <w:p w14:paraId="2D5ACE3E" w14:textId="0FA6DA39" w:rsidR="00580378" w:rsidRDefault="00580378" w:rsidP="009E577F"/>
    <w:p w14:paraId="0F0E6AF1" w14:textId="372955CD" w:rsidR="00580378" w:rsidRDefault="00580378" w:rsidP="009E577F"/>
    <w:p w14:paraId="47CD606E" w14:textId="2CF93653" w:rsidR="00580378" w:rsidRDefault="00580378" w:rsidP="009E577F"/>
    <w:p w14:paraId="6FA5EA3D" w14:textId="4B180911" w:rsidR="00580378" w:rsidRDefault="00580378" w:rsidP="009E577F"/>
    <w:p w14:paraId="7420A205" w14:textId="22F499A5" w:rsidR="00580378" w:rsidRDefault="00580378" w:rsidP="009E577F"/>
    <w:p w14:paraId="1CB7244A" w14:textId="38F7DA17" w:rsidR="00580378" w:rsidRDefault="00580378" w:rsidP="009E577F"/>
    <w:p w14:paraId="17766878" w14:textId="34927B57" w:rsidR="00580378" w:rsidRDefault="00580378" w:rsidP="009E577F"/>
    <w:p w14:paraId="729297D6" w14:textId="7CD7E7C5" w:rsidR="00580378" w:rsidRDefault="00580378" w:rsidP="009E577F"/>
    <w:p w14:paraId="01E37AAA" w14:textId="0EE5763F" w:rsidR="00580378" w:rsidRDefault="00580378" w:rsidP="009E577F"/>
    <w:p w14:paraId="2BCA233E" w14:textId="77777777" w:rsidR="00580378" w:rsidRDefault="00580378" w:rsidP="00580378">
      <w:pPr>
        <w:pStyle w:val="Heading1"/>
      </w:pPr>
      <w:r>
        <w:lastRenderedPageBreak/>
        <w:t>Acknowledgement</w:t>
      </w:r>
    </w:p>
    <w:p w14:paraId="04B6B9CC" w14:textId="77777777" w:rsidR="00580378" w:rsidRDefault="00580378" w:rsidP="00580378">
      <w:pPr>
        <w:rPr>
          <w:rFonts w:cstheme="minorHAnsi"/>
        </w:rPr>
      </w:pPr>
    </w:p>
    <w:p w14:paraId="71028A64" w14:textId="2CF408E1" w:rsidR="00580378" w:rsidRPr="0032138E" w:rsidRDefault="00580378" w:rsidP="00580378">
      <w:pPr>
        <w:rPr>
          <w:rFonts w:cstheme="minorHAnsi"/>
          <w:i/>
          <w:iCs/>
        </w:rPr>
      </w:pPr>
      <w:r w:rsidRPr="0032138E">
        <w:rPr>
          <w:rFonts w:cstheme="minorHAnsi"/>
          <w:i/>
          <w:iCs/>
        </w:rPr>
        <w:t xml:space="preserve">I acknowledge that I have received a copy of the </w:t>
      </w:r>
      <w:r w:rsidR="00C9759E">
        <w:rPr>
          <w:rFonts w:cstheme="minorHAnsi"/>
          <w:b/>
          <w:bCs/>
          <w:i/>
          <w:iCs/>
        </w:rPr>
        <w:t>Lock Out/Tag Out Procedure</w:t>
      </w:r>
      <w:r w:rsidRPr="0032138E">
        <w:rPr>
          <w:rFonts w:cstheme="minorHAnsi"/>
          <w:i/>
          <w:iCs/>
        </w:rPr>
        <w:t xml:space="preserve">. I have read the </w:t>
      </w:r>
      <w:r w:rsidR="00C9759E">
        <w:rPr>
          <w:rFonts w:cstheme="minorHAnsi"/>
          <w:i/>
          <w:iCs/>
        </w:rPr>
        <w:t>Procedure</w:t>
      </w:r>
      <w:r w:rsidRPr="0032138E">
        <w:rPr>
          <w:rFonts w:cstheme="minorHAnsi"/>
          <w:i/>
          <w:iCs/>
        </w:rPr>
        <w:t xml:space="preserve"> and agree to follow the </w:t>
      </w:r>
      <w:r w:rsidR="00C9759E">
        <w:rPr>
          <w:rFonts w:cstheme="minorHAnsi"/>
          <w:b/>
          <w:bCs/>
          <w:i/>
          <w:iCs/>
        </w:rPr>
        <w:t>Procedure</w:t>
      </w:r>
      <w:r w:rsidRPr="0032138E">
        <w:rPr>
          <w:rFonts w:cstheme="minorHAnsi"/>
          <w:i/>
          <w:iCs/>
        </w:rPr>
        <w:t xml:space="preserve"> without exception.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110"/>
        <w:gridCol w:w="1134"/>
        <w:gridCol w:w="3373"/>
        <w:gridCol w:w="1136"/>
      </w:tblGrid>
      <w:tr w:rsidR="00580378" w14:paraId="4489CB2F" w14:textId="77777777" w:rsidTr="00F70ED1">
        <w:trPr>
          <w:trHeight w:val="850"/>
        </w:trPr>
        <w:tc>
          <w:tcPr>
            <w:tcW w:w="2263" w:type="dxa"/>
            <w:vAlign w:val="bottom"/>
          </w:tcPr>
          <w:p w14:paraId="098422E1" w14:textId="77777777" w:rsidR="00580378" w:rsidRPr="0032138E" w:rsidRDefault="00580378" w:rsidP="00F70ED1">
            <w:pPr>
              <w:jc w:val="right"/>
              <w:rPr>
                <w:sz w:val="24"/>
                <w:szCs w:val="24"/>
              </w:rPr>
            </w:pPr>
            <w:bookmarkStart w:id="1" w:name="_Hlk54958158"/>
            <w:r w:rsidRPr="0032138E">
              <w:rPr>
                <w:sz w:val="24"/>
                <w:szCs w:val="24"/>
              </w:rPr>
              <w:t>Employee Name:</w:t>
            </w:r>
          </w:p>
        </w:tc>
        <w:tc>
          <w:tcPr>
            <w:tcW w:w="6753" w:type="dxa"/>
            <w:gridSpan w:val="4"/>
            <w:tcBorders>
              <w:bottom w:val="single" w:sz="4" w:space="0" w:color="auto"/>
            </w:tcBorders>
          </w:tcPr>
          <w:p w14:paraId="2D3AD1A7" w14:textId="77777777" w:rsidR="00580378" w:rsidRPr="0032138E" w:rsidRDefault="00580378" w:rsidP="00F70ED1">
            <w:pPr>
              <w:rPr>
                <w:sz w:val="24"/>
                <w:szCs w:val="24"/>
              </w:rPr>
            </w:pPr>
          </w:p>
        </w:tc>
      </w:tr>
      <w:tr w:rsidR="00580378" w14:paraId="4C61680A" w14:textId="77777777" w:rsidTr="00F70ED1">
        <w:trPr>
          <w:trHeight w:val="850"/>
        </w:trPr>
        <w:tc>
          <w:tcPr>
            <w:tcW w:w="3373" w:type="dxa"/>
            <w:gridSpan w:val="2"/>
            <w:vAlign w:val="bottom"/>
          </w:tcPr>
          <w:p w14:paraId="7544A9E8" w14:textId="77777777" w:rsidR="00580378" w:rsidRPr="0032138E" w:rsidRDefault="00580378" w:rsidP="00F70ED1">
            <w:pPr>
              <w:jc w:val="right"/>
              <w:rPr>
                <w:sz w:val="24"/>
                <w:szCs w:val="24"/>
              </w:rPr>
            </w:pPr>
            <w:r>
              <w:rPr>
                <w:sz w:val="24"/>
                <w:szCs w:val="24"/>
              </w:rPr>
              <w:t>Manhari Direct Employee:</w:t>
            </w:r>
          </w:p>
        </w:tc>
        <w:tc>
          <w:tcPr>
            <w:tcW w:w="1134" w:type="dxa"/>
            <w:vAlign w:val="bottom"/>
          </w:tcPr>
          <w:p w14:paraId="66370F55" w14:textId="77777777" w:rsidR="00580378" w:rsidRPr="00F87CAE" w:rsidRDefault="00580378" w:rsidP="00F70ED1">
            <w:pPr>
              <w:rPr>
                <w:sz w:val="28"/>
                <w:szCs w:val="28"/>
              </w:rPr>
            </w:pPr>
            <w:r w:rsidRPr="00F87CAE">
              <w:rPr>
                <w:sz w:val="28"/>
                <w:szCs w:val="28"/>
              </w:rPr>
              <w:sym w:font="Wingdings 2" w:char="F0A3"/>
            </w:r>
          </w:p>
        </w:tc>
        <w:tc>
          <w:tcPr>
            <w:tcW w:w="3373" w:type="dxa"/>
            <w:vAlign w:val="bottom"/>
          </w:tcPr>
          <w:p w14:paraId="69541900" w14:textId="77777777" w:rsidR="00580378" w:rsidRPr="0032138E" w:rsidRDefault="00580378" w:rsidP="00F70ED1">
            <w:pPr>
              <w:jc w:val="right"/>
              <w:rPr>
                <w:sz w:val="24"/>
                <w:szCs w:val="24"/>
              </w:rPr>
            </w:pPr>
            <w:r>
              <w:rPr>
                <w:sz w:val="24"/>
                <w:szCs w:val="24"/>
              </w:rPr>
              <w:t>Labour Hire Contractor:</w:t>
            </w:r>
          </w:p>
        </w:tc>
        <w:tc>
          <w:tcPr>
            <w:tcW w:w="1134" w:type="dxa"/>
            <w:vAlign w:val="bottom"/>
          </w:tcPr>
          <w:p w14:paraId="5A500F22" w14:textId="77777777" w:rsidR="00580378" w:rsidRPr="00F87CAE" w:rsidRDefault="00580378" w:rsidP="00F70ED1">
            <w:pPr>
              <w:rPr>
                <w:sz w:val="28"/>
                <w:szCs w:val="28"/>
              </w:rPr>
            </w:pPr>
            <w:r w:rsidRPr="00F87CAE">
              <w:rPr>
                <w:sz w:val="28"/>
                <w:szCs w:val="28"/>
              </w:rPr>
              <w:sym w:font="Wingdings 2" w:char="F0A3"/>
            </w:r>
          </w:p>
        </w:tc>
      </w:tr>
      <w:tr w:rsidR="00580378" w14:paraId="1BD96544" w14:textId="77777777" w:rsidTr="00F70ED1">
        <w:trPr>
          <w:trHeight w:val="850"/>
        </w:trPr>
        <w:tc>
          <w:tcPr>
            <w:tcW w:w="2263" w:type="dxa"/>
            <w:vAlign w:val="bottom"/>
          </w:tcPr>
          <w:p w14:paraId="4FE1158F" w14:textId="77777777" w:rsidR="00580378" w:rsidRPr="0032138E" w:rsidRDefault="00580378" w:rsidP="00F70ED1">
            <w:pPr>
              <w:jc w:val="right"/>
              <w:rPr>
                <w:sz w:val="24"/>
                <w:szCs w:val="24"/>
              </w:rPr>
            </w:pPr>
            <w:r>
              <w:rPr>
                <w:sz w:val="24"/>
                <w:szCs w:val="24"/>
              </w:rPr>
              <w:t>Labour Hire Agency:</w:t>
            </w:r>
          </w:p>
        </w:tc>
        <w:tc>
          <w:tcPr>
            <w:tcW w:w="6753" w:type="dxa"/>
            <w:gridSpan w:val="4"/>
            <w:tcBorders>
              <w:bottom w:val="single" w:sz="4" w:space="0" w:color="auto"/>
            </w:tcBorders>
          </w:tcPr>
          <w:p w14:paraId="0904E532" w14:textId="77777777" w:rsidR="00580378" w:rsidRPr="0032138E" w:rsidRDefault="00580378" w:rsidP="00F70ED1">
            <w:pPr>
              <w:rPr>
                <w:sz w:val="24"/>
                <w:szCs w:val="24"/>
              </w:rPr>
            </w:pPr>
          </w:p>
        </w:tc>
      </w:tr>
      <w:tr w:rsidR="00580378" w14:paraId="27173FE7" w14:textId="77777777" w:rsidTr="00F70ED1">
        <w:trPr>
          <w:trHeight w:val="850"/>
        </w:trPr>
        <w:tc>
          <w:tcPr>
            <w:tcW w:w="2263" w:type="dxa"/>
            <w:vAlign w:val="bottom"/>
          </w:tcPr>
          <w:p w14:paraId="7E0E9AB8" w14:textId="77777777" w:rsidR="00580378" w:rsidRPr="0032138E" w:rsidRDefault="00580378" w:rsidP="00F70ED1">
            <w:pPr>
              <w:jc w:val="right"/>
              <w:rPr>
                <w:sz w:val="24"/>
                <w:szCs w:val="24"/>
              </w:rPr>
            </w:pPr>
            <w:r w:rsidRPr="0032138E">
              <w:rPr>
                <w:sz w:val="24"/>
                <w:szCs w:val="24"/>
              </w:rPr>
              <w:t>Employee Signature:</w:t>
            </w:r>
          </w:p>
        </w:tc>
        <w:tc>
          <w:tcPr>
            <w:tcW w:w="6753" w:type="dxa"/>
            <w:gridSpan w:val="4"/>
            <w:tcBorders>
              <w:top w:val="single" w:sz="4" w:space="0" w:color="auto"/>
              <w:bottom w:val="single" w:sz="4" w:space="0" w:color="auto"/>
            </w:tcBorders>
          </w:tcPr>
          <w:p w14:paraId="11528DD1" w14:textId="77777777" w:rsidR="00580378" w:rsidRPr="0032138E" w:rsidRDefault="00580378" w:rsidP="00F70ED1">
            <w:pPr>
              <w:rPr>
                <w:sz w:val="24"/>
                <w:szCs w:val="24"/>
              </w:rPr>
            </w:pPr>
          </w:p>
        </w:tc>
      </w:tr>
      <w:tr w:rsidR="00580378" w14:paraId="473D2FAB" w14:textId="77777777" w:rsidTr="00F70ED1">
        <w:trPr>
          <w:trHeight w:val="850"/>
        </w:trPr>
        <w:tc>
          <w:tcPr>
            <w:tcW w:w="2263" w:type="dxa"/>
            <w:vAlign w:val="bottom"/>
          </w:tcPr>
          <w:p w14:paraId="41FB4481" w14:textId="77777777" w:rsidR="00580378" w:rsidRPr="0032138E" w:rsidRDefault="00580378" w:rsidP="00F70ED1">
            <w:pPr>
              <w:jc w:val="right"/>
              <w:rPr>
                <w:sz w:val="24"/>
                <w:szCs w:val="24"/>
              </w:rPr>
            </w:pPr>
            <w:r w:rsidRPr="0032138E">
              <w:rPr>
                <w:sz w:val="24"/>
                <w:szCs w:val="24"/>
              </w:rPr>
              <w:t>Date:</w:t>
            </w:r>
          </w:p>
        </w:tc>
        <w:tc>
          <w:tcPr>
            <w:tcW w:w="6753" w:type="dxa"/>
            <w:gridSpan w:val="4"/>
            <w:tcBorders>
              <w:top w:val="single" w:sz="4" w:space="0" w:color="auto"/>
              <w:bottom w:val="single" w:sz="4" w:space="0" w:color="auto"/>
            </w:tcBorders>
          </w:tcPr>
          <w:p w14:paraId="5F7FDC8E" w14:textId="77777777" w:rsidR="00580378" w:rsidRPr="0032138E" w:rsidRDefault="00580378" w:rsidP="00F70ED1">
            <w:pPr>
              <w:rPr>
                <w:sz w:val="24"/>
                <w:szCs w:val="24"/>
              </w:rPr>
            </w:pPr>
          </w:p>
        </w:tc>
      </w:tr>
      <w:bookmarkEnd w:id="1"/>
    </w:tbl>
    <w:p w14:paraId="115A852C" w14:textId="77777777" w:rsidR="00580378" w:rsidRDefault="00580378" w:rsidP="00580378"/>
    <w:p w14:paraId="58B3987D" w14:textId="77777777" w:rsidR="00580378" w:rsidRDefault="00580378" w:rsidP="00580378"/>
    <w:p w14:paraId="7CEDD364" w14:textId="66811595" w:rsidR="00580378" w:rsidRDefault="00580378" w:rsidP="00580378">
      <w:r w:rsidRPr="0032138E">
        <w:rPr>
          <w:i/>
          <w:iCs/>
        </w:rPr>
        <w:t xml:space="preserve">I acknowledge that the above employee has been guided through the </w:t>
      </w:r>
      <w:r w:rsidR="00C9759E">
        <w:rPr>
          <w:b/>
          <w:bCs/>
          <w:i/>
          <w:iCs/>
        </w:rPr>
        <w:t>Lock Out/Tag Out Procedure</w:t>
      </w:r>
      <w:r w:rsidRPr="0032138E">
        <w:rPr>
          <w:i/>
          <w:iCs/>
        </w:rPr>
        <w:t xml:space="preserve">. I am satisfied that the above employee has read and understood the </w:t>
      </w:r>
      <w:r w:rsidR="00C9759E">
        <w:rPr>
          <w:b/>
          <w:bCs/>
          <w:i/>
          <w:iCs/>
        </w:rPr>
        <w:t>Procedure</w:t>
      </w:r>
      <w:r w:rsidRPr="0032138E">
        <w:rPr>
          <w:i/>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580378" w14:paraId="495DEE7A" w14:textId="77777777" w:rsidTr="00F70ED1">
        <w:trPr>
          <w:trHeight w:val="850"/>
        </w:trPr>
        <w:tc>
          <w:tcPr>
            <w:tcW w:w="2263" w:type="dxa"/>
            <w:vAlign w:val="bottom"/>
          </w:tcPr>
          <w:p w14:paraId="4AD39751" w14:textId="77777777" w:rsidR="00580378" w:rsidRPr="0032138E" w:rsidRDefault="00580378" w:rsidP="00F70ED1">
            <w:pPr>
              <w:jc w:val="right"/>
              <w:rPr>
                <w:sz w:val="24"/>
                <w:szCs w:val="24"/>
              </w:rPr>
            </w:pPr>
            <w:r>
              <w:rPr>
                <w:sz w:val="24"/>
                <w:szCs w:val="24"/>
              </w:rPr>
              <w:t>Manager</w:t>
            </w:r>
            <w:r w:rsidRPr="0032138E">
              <w:rPr>
                <w:sz w:val="24"/>
                <w:szCs w:val="24"/>
              </w:rPr>
              <w:t xml:space="preserve"> Name:</w:t>
            </w:r>
          </w:p>
        </w:tc>
        <w:tc>
          <w:tcPr>
            <w:tcW w:w="6753" w:type="dxa"/>
            <w:tcBorders>
              <w:bottom w:val="single" w:sz="4" w:space="0" w:color="auto"/>
            </w:tcBorders>
          </w:tcPr>
          <w:p w14:paraId="3260DF29" w14:textId="77777777" w:rsidR="00580378" w:rsidRPr="0032138E" w:rsidRDefault="00580378" w:rsidP="00F70ED1">
            <w:pPr>
              <w:rPr>
                <w:sz w:val="24"/>
                <w:szCs w:val="24"/>
              </w:rPr>
            </w:pPr>
          </w:p>
        </w:tc>
      </w:tr>
      <w:tr w:rsidR="00580378" w14:paraId="24B5A02A" w14:textId="77777777" w:rsidTr="00F70ED1">
        <w:trPr>
          <w:trHeight w:val="850"/>
        </w:trPr>
        <w:tc>
          <w:tcPr>
            <w:tcW w:w="2263" w:type="dxa"/>
            <w:vAlign w:val="bottom"/>
          </w:tcPr>
          <w:p w14:paraId="33929C35" w14:textId="77777777" w:rsidR="00580378" w:rsidRPr="0032138E" w:rsidRDefault="00580378" w:rsidP="00F70ED1">
            <w:pPr>
              <w:jc w:val="right"/>
              <w:rPr>
                <w:sz w:val="24"/>
                <w:szCs w:val="24"/>
              </w:rPr>
            </w:pPr>
            <w:r>
              <w:rPr>
                <w:sz w:val="24"/>
                <w:szCs w:val="24"/>
              </w:rPr>
              <w:t>Manager</w:t>
            </w:r>
            <w:r w:rsidRPr="0032138E">
              <w:rPr>
                <w:sz w:val="24"/>
                <w:szCs w:val="24"/>
              </w:rPr>
              <w:t xml:space="preserve"> Signature:</w:t>
            </w:r>
          </w:p>
        </w:tc>
        <w:tc>
          <w:tcPr>
            <w:tcW w:w="6753" w:type="dxa"/>
            <w:tcBorders>
              <w:top w:val="single" w:sz="4" w:space="0" w:color="auto"/>
              <w:bottom w:val="single" w:sz="4" w:space="0" w:color="auto"/>
            </w:tcBorders>
          </w:tcPr>
          <w:p w14:paraId="1A7F6796" w14:textId="77777777" w:rsidR="00580378" w:rsidRPr="0032138E" w:rsidRDefault="00580378" w:rsidP="00F70ED1">
            <w:pPr>
              <w:rPr>
                <w:sz w:val="24"/>
                <w:szCs w:val="24"/>
              </w:rPr>
            </w:pPr>
          </w:p>
        </w:tc>
      </w:tr>
      <w:tr w:rsidR="00580378" w14:paraId="5E410BE8" w14:textId="77777777" w:rsidTr="00F70ED1">
        <w:trPr>
          <w:trHeight w:val="850"/>
        </w:trPr>
        <w:tc>
          <w:tcPr>
            <w:tcW w:w="2263" w:type="dxa"/>
            <w:vAlign w:val="bottom"/>
          </w:tcPr>
          <w:p w14:paraId="66CE2759" w14:textId="77777777" w:rsidR="00580378" w:rsidRPr="0032138E" w:rsidRDefault="00580378" w:rsidP="00F70ED1">
            <w:pPr>
              <w:jc w:val="right"/>
              <w:rPr>
                <w:sz w:val="24"/>
                <w:szCs w:val="24"/>
              </w:rPr>
            </w:pPr>
            <w:r w:rsidRPr="0032138E">
              <w:rPr>
                <w:sz w:val="24"/>
                <w:szCs w:val="24"/>
              </w:rPr>
              <w:t>Date:</w:t>
            </w:r>
          </w:p>
        </w:tc>
        <w:tc>
          <w:tcPr>
            <w:tcW w:w="6753" w:type="dxa"/>
            <w:tcBorders>
              <w:top w:val="single" w:sz="4" w:space="0" w:color="auto"/>
              <w:bottom w:val="single" w:sz="4" w:space="0" w:color="auto"/>
            </w:tcBorders>
          </w:tcPr>
          <w:p w14:paraId="0DC8751A" w14:textId="77777777" w:rsidR="00580378" w:rsidRPr="0032138E" w:rsidRDefault="00580378" w:rsidP="00F70ED1">
            <w:pPr>
              <w:rPr>
                <w:sz w:val="24"/>
                <w:szCs w:val="24"/>
              </w:rPr>
            </w:pPr>
          </w:p>
        </w:tc>
      </w:tr>
    </w:tbl>
    <w:p w14:paraId="13F601FE" w14:textId="77777777" w:rsidR="00580378" w:rsidRDefault="00580378" w:rsidP="009E577F"/>
    <w:sectPr w:rsidR="00580378" w:rsidSect="006263F2">
      <w:headerReference w:type="default" r:id="rId11"/>
      <w:footerReference w:type="default" r:id="rId12"/>
      <w:pgSz w:w="11906" w:h="16838"/>
      <w:pgMar w:top="1843"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F9049" w14:textId="77777777" w:rsidR="008F3689" w:rsidRDefault="008F3689" w:rsidP="008F3689">
      <w:pPr>
        <w:spacing w:before="0" w:line="240" w:lineRule="auto"/>
      </w:pPr>
      <w:r>
        <w:separator/>
      </w:r>
    </w:p>
  </w:endnote>
  <w:endnote w:type="continuationSeparator" w:id="0">
    <w:p w14:paraId="01A36D3A" w14:textId="77777777" w:rsidR="008F3689" w:rsidRDefault="008F3689" w:rsidP="008F36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830AD" w14:textId="10F5A554" w:rsidR="009E577F" w:rsidRPr="00743068" w:rsidRDefault="009E577F" w:rsidP="009E577F">
    <w:pPr>
      <w:pStyle w:val="Footer"/>
      <w:rPr>
        <w:color w:val="000000"/>
        <w14:textFill>
          <w14:solidFill>
            <w14:srgbClr w14:val="000000">
              <w14:alpha w14:val="50000"/>
            </w14:srgbClr>
          </w14:solidFill>
        </w14:textFill>
      </w:rPr>
    </w:pPr>
    <w:r w:rsidRPr="00743068">
      <w:rPr>
        <w:b/>
        <w:bCs/>
        <w:color w:val="000000"/>
        <w14:textFill>
          <w14:solidFill>
            <w14:srgbClr w14:val="000000">
              <w14:alpha w14:val="50000"/>
            </w14:srgbClr>
          </w14:solidFill>
        </w14:textFill>
      </w:rPr>
      <w:t>Document Title:</w:t>
    </w:r>
    <w:r w:rsidRPr="00743068">
      <w:rPr>
        <w:color w:val="000000"/>
        <w14:textFill>
          <w14:solidFill>
            <w14:srgbClr w14:val="000000">
              <w14:alpha w14:val="50000"/>
            </w14:srgbClr>
          </w14:solidFill>
        </w14:textFill>
      </w:rPr>
      <w:t xml:space="preserve"> </w:t>
    </w:r>
    <w:r w:rsidR="00ED560C">
      <w:rPr>
        <w:color w:val="000000"/>
        <w14:textFill>
          <w14:solidFill>
            <w14:srgbClr w14:val="000000">
              <w14:alpha w14:val="50000"/>
            </w14:srgbClr>
          </w14:solidFill>
        </w14:textFill>
      </w:rPr>
      <w:t>Lock Out/Tag Out Procedure</w:t>
    </w:r>
    <w:r w:rsidR="00205D11">
      <w:rPr>
        <w:color w:val="000000"/>
        <w14:textFill>
          <w14:solidFill>
            <w14:srgbClr w14:val="000000">
              <w14:alpha w14:val="50000"/>
            </w14:srgbClr>
          </w14:solidFill>
        </w14:textFill>
      </w:rPr>
      <w:tab/>
    </w:r>
    <w:r w:rsidRPr="00743068">
      <w:rPr>
        <w:color w:val="000000"/>
        <w14:textFill>
          <w14:solidFill>
            <w14:srgbClr w14:val="000000">
              <w14:alpha w14:val="50000"/>
            </w14:srgbClr>
          </w14:solidFill>
        </w14:textFill>
      </w:rPr>
      <w:tab/>
    </w:r>
    <w:r w:rsidRPr="00743068">
      <w:rPr>
        <w:b/>
        <w:bCs/>
        <w:color w:val="000000"/>
        <w14:textFill>
          <w14:solidFill>
            <w14:srgbClr w14:val="000000">
              <w14:alpha w14:val="50000"/>
            </w14:srgbClr>
          </w14:solidFill>
        </w14:textFill>
      </w:rPr>
      <w:t>Authorised By:</w:t>
    </w:r>
    <w:r w:rsidRPr="00743068">
      <w:rPr>
        <w:color w:val="000000"/>
        <w14:textFill>
          <w14:solidFill>
            <w14:srgbClr w14:val="000000">
              <w14:alpha w14:val="50000"/>
            </w14:srgbClr>
          </w14:solidFill>
        </w14:textFill>
      </w:rPr>
      <w:t xml:space="preserve"> Shannon Crawford</w:t>
    </w:r>
  </w:p>
  <w:p w14:paraId="4BA01FFC" w14:textId="1FD15D8A" w:rsidR="009E577F" w:rsidRPr="00743068" w:rsidRDefault="009E577F" w:rsidP="009E577F">
    <w:pPr>
      <w:pStyle w:val="Footer"/>
      <w:rPr>
        <w:color w:val="000000"/>
        <w14:textFill>
          <w14:solidFill>
            <w14:srgbClr w14:val="000000">
              <w14:alpha w14:val="50000"/>
            </w14:srgbClr>
          </w14:solidFill>
        </w14:textFill>
      </w:rPr>
    </w:pPr>
    <w:r w:rsidRPr="00743068">
      <w:rPr>
        <w:b/>
        <w:bCs/>
        <w:color w:val="000000"/>
        <w14:textFill>
          <w14:solidFill>
            <w14:srgbClr w14:val="000000">
              <w14:alpha w14:val="50000"/>
            </w14:srgbClr>
          </w14:solidFill>
        </w14:textFill>
      </w:rPr>
      <w:t>Version:</w:t>
    </w:r>
    <w:r w:rsidRPr="00743068">
      <w:rPr>
        <w:color w:val="000000"/>
        <w14:textFill>
          <w14:solidFill>
            <w14:srgbClr w14:val="000000">
              <w14:alpha w14:val="50000"/>
            </w14:srgbClr>
          </w14:solidFill>
        </w14:textFill>
      </w:rPr>
      <w:t xml:space="preserve"> 1.0</w:t>
    </w:r>
    <w:r w:rsidRPr="00743068">
      <w:rPr>
        <w:color w:val="000000"/>
        <w14:textFill>
          <w14:solidFill>
            <w14:srgbClr w14:val="000000">
              <w14:alpha w14:val="50000"/>
            </w14:srgbClr>
          </w14:solidFill>
        </w14:textFill>
      </w:rPr>
      <w:tab/>
    </w:r>
    <w:r w:rsidRPr="00743068">
      <w:rPr>
        <w:b/>
        <w:bCs/>
        <w:color w:val="000000"/>
        <w14:textFill>
          <w14:solidFill>
            <w14:srgbClr w14:val="000000">
              <w14:alpha w14:val="50000"/>
            </w14:srgbClr>
          </w14:solidFill>
        </w14:textFill>
      </w:rPr>
      <w:t>Issue Date:</w:t>
    </w:r>
    <w:r w:rsidRPr="00743068">
      <w:rPr>
        <w:color w:val="000000"/>
        <w14:textFill>
          <w14:solidFill>
            <w14:srgbClr w14:val="000000">
              <w14:alpha w14:val="50000"/>
            </w14:srgbClr>
          </w14:solidFill>
        </w14:textFill>
      </w:rPr>
      <w:t xml:space="preserve"> </w:t>
    </w:r>
    <w:r w:rsidR="00205D11">
      <w:rPr>
        <w:color w:val="000000"/>
        <w14:textFill>
          <w14:solidFill>
            <w14:srgbClr w14:val="000000">
              <w14:alpha w14:val="50000"/>
            </w14:srgbClr>
          </w14:solidFill>
        </w14:textFill>
      </w:rPr>
      <w:t>12</w:t>
    </w:r>
    <w:r w:rsidRPr="00743068">
      <w:rPr>
        <w:color w:val="000000"/>
        <w14:textFill>
          <w14:solidFill>
            <w14:srgbClr w14:val="000000">
              <w14:alpha w14:val="50000"/>
            </w14:srgbClr>
          </w14:solidFill>
        </w14:textFill>
      </w:rPr>
      <w:t>/</w:t>
    </w:r>
    <w:r>
      <w:rPr>
        <w:color w:val="000000"/>
        <w14:textFill>
          <w14:solidFill>
            <w14:srgbClr w14:val="000000">
              <w14:alpha w14:val="50000"/>
            </w14:srgbClr>
          </w14:solidFill>
        </w14:textFill>
      </w:rPr>
      <w:t>11</w:t>
    </w:r>
    <w:r w:rsidRPr="00743068">
      <w:rPr>
        <w:color w:val="000000"/>
        <w14:textFill>
          <w14:solidFill>
            <w14:srgbClr w14:val="000000">
              <w14:alpha w14:val="50000"/>
            </w14:srgbClr>
          </w14:solidFill>
        </w14:textFill>
      </w:rPr>
      <w:t>/2020</w:t>
    </w:r>
    <w:r w:rsidRPr="00743068">
      <w:rPr>
        <w:color w:val="000000"/>
        <w14:textFill>
          <w14:solidFill>
            <w14:srgbClr w14:val="000000">
              <w14:alpha w14:val="50000"/>
            </w14:srgbClr>
          </w14:solidFill>
        </w14:textFill>
      </w:rPr>
      <w:tab/>
    </w:r>
    <w:r w:rsidRPr="00743068">
      <w:rPr>
        <w:b/>
        <w:bCs/>
        <w:color w:val="000000"/>
        <w14:textFill>
          <w14:solidFill>
            <w14:srgbClr w14:val="000000">
              <w14:alpha w14:val="50000"/>
            </w14:srgbClr>
          </w14:solidFill>
        </w14:textFill>
      </w:rPr>
      <w:t>Revision Date:</w:t>
    </w:r>
    <w:r w:rsidRPr="00743068">
      <w:rPr>
        <w:color w:val="000000"/>
        <w14:textFill>
          <w14:solidFill>
            <w14:srgbClr w14:val="000000">
              <w14:alpha w14:val="50000"/>
            </w14:srgbClr>
          </w14:solidFill>
        </w14:textFill>
      </w:rPr>
      <w:t xml:space="preserve"> NA</w:t>
    </w:r>
  </w:p>
  <w:p w14:paraId="2B4977AB" w14:textId="77777777" w:rsidR="009E577F" w:rsidRDefault="009E5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9516D" w14:textId="77777777" w:rsidR="008F3689" w:rsidRDefault="008F3689" w:rsidP="008F3689">
      <w:pPr>
        <w:spacing w:before="0" w:line="240" w:lineRule="auto"/>
      </w:pPr>
      <w:r>
        <w:separator/>
      </w:r>
    </w:p>
  </w:footnote>
  <w:footnote w:type="continuationSeparator" w:id="0">
    <w:p w14:paraId="30BA2D63" w14:textId="77777777" w:rsidR="008F3689" w:rsidRDefault="008F3689" w:rsidP="008F368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84835660"/>
      <w:docPartObj>
        <w:docPartGallery w:val="Page Numbers (Top of Page)"/>
        <w:docPartUnique/>
      </w:docPartObj>
    </w:sdtPr>
    <w:sdtEndPr>
      <w:rPr>
        <w:b/>
        <w:bCs/>
        <w:noProof/>
        <w:color w:val="auto"/>
        <w:spacing w:val="0"/>
      </w:rPr>
    </w:sdtEndPr>
    <w:sdtContent>
      <w:p w14:paraId="79164516" w14:textId="77777777" w:rsidR="00ED560C" w:rsidRDefault="00ED560C" w:rsidP="00ED560C">
        <w:pPr>
          <w:pStyle w:val="Header"/>
          <w:pBdr>
            <w:bottom w:val="single" w:sz="4" w:space="1" w:color="D9D9D9" w:themeColor="background1" w:themeShade="D9"/>
          </w:pBdr>
          <w:ind w:left="993"/>
          <w:jc w:val="right"/>
          <w:rPr>
            <w:b/>
            <w:bCs/>
          </w:rPr>
        </w:pPr>
        <w:r>
          <w:rPr>
            <w:noProof/>
            <w:color w:val="7F7F7F" w:themeColor="background1" w:themeShade="7F"/>
            <w:spacing w:val="60"/>
          </w:rPr>
          <w:drawing>
            <wp:anchor distT="0" distB="0" distL="114300" distR="114300" simplePos="0" relativeHeight="251659264" behindDoc="1" locked="0" layoutInCell="1" allowOverlap="1" wp14:anchorId="563CE0F2" wp14:editId="788E92A8">
              <wp:simplePos x="0" y="0"/>
              <wp:positionH relativeFrom="leftMargin">
                <wp:posOffset>590550</wp:posOffset>
              </wp:positionH>
              <wp:positionV relativeFrom="paragraph">
                <wp:posOffset>-87630</wp:posOffset>
              </wp:positionV>
              <wp:extent cx="561975" cy="561975"/>
              <wp:effectExtent l="0" t="0" r="9525" b="9525"/>
              <wp:wrapNone/>
              <wp:docPr id="15" name="Picture 15" descr="A picture containing object, clock, blue,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clock, blue, holding&#10;&#10;Description automatically generated"/>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p w14:paraId="6665460A" w14:textId="77777777" w:rsidR="00ED560C" w:rsidRDefault="00ED560C" w:rsidP="00ED560C">
    <w:pPr>
      <w:pStyle w:val="Header"/>
    </w:pPr>
  </w:p>
  <w:p w14:paraId="03D9B011" w14:textId="77777777" w:rsidR="008F3689" w:rsidRDefault="008F3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25A5"/>
    <w:multiLevelType w:val="hybridMultilevel"/>
    <w:tmpl w:val="AB8A8248"/>
    <w:lvl w:ilvl="0" w:tplc="AA3C6F56">
      <w:start w:val="1"/>
      <w:numFmt w:val="lowerLetter"/>
      <w:lvlText w:val="%1)"/>
      <w:lvlJc w:val="left"/>
      <w:pPr>
        <w:ind w:left="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76BB9A">
      <w:start w:val="1"/>
      <w:numFmt w:val="bullet"/>
      <w:lvlText w:val="•"/>
      <w:lvlJc w:val="left"/>
      <w:pPr>
        <w:ind w:left="1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E44600">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28CFB2">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4295BC">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642EAC">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A83830">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9885EC">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1E53E2">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7C034F"/>
    <w:multiLevelType w:val="hybridMultilevel"/>
    <w:tmpl w:val="3BAE0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CA52F8"/>
    <w:multiLevelType w:val="hybridMultilevel"/>
    <w:tmpl w:val="54360434"/>
    <w:lvl w:ilvl="0" w:tplc="777C39EE">
      <w:start w:val="1"/>
      <w:numFmt w:val="lowerLetter"/>
      <w:lvlText w:val="%1)"/>
      <w:lvlJc w:val="left"/>
      <w:pPr>
        <w:ind w:left="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C6AAA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569A1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886131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1645D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72F0D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40295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A2A42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30AA3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6D0798"/>
    <w:multiLevelType w:val="hybridMultilevel"/>
    <w:tmpl w:val="FBDEFC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683ABD"/>
    <w:multiLevelType w:val="hybridMultilevel"/>
    <w:tmpl w:val="523C3C86"/>
    <w:lvl w:ilvl="0" w:tplc="5C1AEF1A">
      <w:start w:val="1"/>
      <w:numFmt w:val="lowerLetter"/>
      <w:lvlText w:val="%1)"/>
      <w:lvlJc w:val="left"/>
      <w:pPr>
        <w:ind w:left="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AE695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3AC68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2899E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D884E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12E0B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9035F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3AD0A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364E1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4864365"/>
    <w:multiLevelType w:val="hybridMultilevel"/>
    <w:tmpl w:val="5DD417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6481678"/>
    <w:multiLevelType w:val="hybridMultilevel"/>
    <w:tmpl w:val="5BC0553E"/>
    <w:lvl w:ilvl="0" w:tplc="C0680CA2">
      <w:start w:val="1"/>
      <w:numFmt w:val="lowerLetter"/>
      <w:lvlText w:val="%1)"/>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A0A1DA">
      <w:start w:val="1"/>
      <w:numFmt w:val="lowerLetter"/>
      <w:lvlText w:val="%2"/>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AE078C">
      <w:start w:val="1"/>
      <w:numFmt w:val="lowerRoman"/>
      <w:lvlText w:val="%3"/>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643A9E">
      <w:start w:val="1"/>
      <w:numFmt w:val="decimal"/>
      <w:lvlText w:val="%4"/>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AE5AF2">
      <w:start w:val="1"/>
      <w:numFmt w:val="lowerLetter"/>
      <w:lvlText w:val="%5"/>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9C8CC2">
      <w:start w:val="1"/>
      <w:numFmt w:val="lowerRoman"/>
      <w:lvlText w:val="%6"/>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F4AB32">
      <w:start w:val="1"/>
      <w:numFmt w:val="decimal"/>
      <w:lvlText w:val="%7"/>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D02F02">
      <w:start w:val="1"/>
      <w:numFmt w:val="lowerLetter"/>
      <w:lvlText w:val="%8"/>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0C23B6">
      <w:start w:val="1"/>
      <w:numFmt w:val="lowerRoman"/>
      <w:lvlText w:val="%9"/>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7BE2CB5"/>
    <w:multiLevelType w:val="hybridMultilevel"/>
    <w:tmpl w:val="A0869F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2DC41D3"/>
    <w:multiLevelType w:val="hybridMultilevel"/>
    <w:tmpl w:val="FA88F288"/>
    <w:lvl w:ilvl="0" w:tplc="E1C032E6">
      <w:start w:val="1"/>
      <w:numFmt w:val="lowerLetter"/>
      <w:lvlText w:val="%1)"/>
      <w:lvlJc w:val="left"/>
      <w:pPr>
        <w:ind w:left="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6E4134">
      <w:start w:val="1"/>
      <w:numFmt w:val="bullet"/>
      <w:lvlText w:val="•"/>
      <w:lvlJc w:val="left"/>
      <w:pPr>
        <w:ind w:left="14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1868A8">
      <w:start w:val="1"/>
      <w:numFmt w:val="bullet"/>
      <w:lvlText w:val="▪"/>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72C29C">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1C2D76">
      <w:start w:val="1"/>
      <w:numFmt w:val="bullet"/>
      <w:lvlText w:val="o"/>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9E5984">
      <w:start w:val="1"/>
      <w:numFmt w:val="bullet"/>
      <w:lvlText w:val="▪"/>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FEB9CA">
      <w:start w:val="1"/>
      <w:numFmt w:val="bullet"/>
      <w:lvlText w:val="•"/>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C2B1B8">
      <w:start w:val="1"/>
      <w:numFmt w:val="bullet"/>
      <w:lvlText w:val="o"/>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FA0A20">
      <w:start w:val="1"/>
      <w:numFmt w:val="bullet"/>
      <w:lvlText w:val="▪"/>
      <w:lvlJc w:val="left"/>
      <w:pPr>
        <w:ind w:left="64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6DE7163"/>
    <w:multiLevelType w:val="hybridMultilevel"/>
    <w:tmpl w:val="6A20E8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EB74DF"/>
    <w:multiLevelType w:val="hybridMultilevel"/>
    <w:tmpl w:val="9D9CFA60"/>
    <w:lvl w:ilvl="0" w:tplc="B6CA0F9A">
      <w:start w:val="1"/>
      <w:numFmt w:val="bullet"/>
      <w:lvlText w:val="•"/>
      <w:lvlJc w:val="left"/>
      <w:pPr>
        <w:ind w:left="73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5245CFE">
      <w:start w:val="1"/>
      <w:numFmt w:val="bullet"/>
      <w:lvlText w:val="o"/>
      <w:lvlJc w:val="left"/>
      <w:pPr>
        <w:ind w:left="14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5F0DD2C">
      <w:start w:val="1"/>
      <w:numFmt w:val="bullet"/>
      <w:lvlText w:val="▪"/>
      <w:lvlJc w:val="left"/>
      <w:pPr>
        <w:ind w:left="21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F28DC32">
      <w:start w:val="1"/>
      <w:numFmt w:val="bullet"/>
      <w:lvlText w:val="•"/>
      <w:lvlJc w:val="left"/>
      <w:pPr>
        <w:ind w:left="29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BBC21D4">
      <w:start w:val="1"/>
      <w:numFmt w:val="bullet"/>
      <w:lvlText w:val="o"/>
      <w:lvlJc w:val="left"/>
      <w:pPr>
        <w:ind w:left="36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156DD24">
      <w:start w:val="1"/>
      <w:numFmt w:val="bullet"/>
      <w:lvlText w:val="▪"/>
      <w:lvlJc w:val="left"/>
      <w:pPr>
        <w:ind w:left="435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7826856">
      <w:start w:val="1"/>
      <w:numFmt w:val="bullet"/>
      <w:lvlText w:val="•"/>
      <w:lvlJc w:val="left"/>
      <w:pPr>
        <w:ind w:left="50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4E6179A">
      <w:start w:val="1"/>
      <w:numFmt w:val="bullet"/>
      <w:lvlText w:val="o"/>
      <w:lvlJc w:val="left"/>
      <w:pPr>
        <w:ind w:left="57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1BC72E4">
      <w:start w:val="1"/>
      <w:numFmt w:val="bullet"/>
      <w:lvlText w:val="▪"/>
      <w:lvlJc w:val="left"/>
      <w:pPr>
        <w:ind w:left="651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57687B42"/>
    <w:multiLevelType w:val="hybridMultilevel"/>
    <w:tmpl w:val="A8B0FA76"/>
    <w:lvl w:ilvl="0" w:tplc="0360DF7E">
      <w:start w:val="1"/>
      <w:numFmt w:val="lowerLetter"/>
      <w:lvlText w:val="%1)"/>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C21B44">
      <w:start w:val="1"/>
      <w:numFmt w:val="lowerLetter"/>
      <w:lvlText w:val="%2"/>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82E6C2">
      <w:start w:val="1"/>
      <w:numFmt w:val="lowerRoman"/>
      <w:lvlText w:val="%3"/>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9EB488">
      <w:start w:val="1"/>
      <w:numFmt w:val="decimal"/>
      <w:lvlText w:val="%4"/>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4E6C0C">
      <w:start w:val="1"/>
      <w:numFmt w:val="lowerLetter"/>
      <w:lvlText w:val="%5"/>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58638C">
      <w:start w:val="1"/>
      <w:numFmt w:val="lowerRoman"/>
      <w:lvlText w:val="%6"/>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FEE6B8">
      <w:start w:val="1"/>
      <w:numFmt w:val="decimal"/>
      <w:lvlText w:val="%7"/>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FA4480">
      <w:start w:val="1"/>
      <w:numFmt w:val="lowerLetter"/>
      <w:lvlText w:val="%8"/>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345462">
      <w:start w:val="1"/>
      <w:numFmt w:val="lowerRoman"/>
      <w:lvlText w:val="%9"/>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D9E4ADD"/>
    <w:multiLevelType w:val="hybridMultilevel"/>
    <w:tmpl w:val="6F5CBE90"/>
    <w:lvl w:ilvl="0" w:tplc="558A2B2E">
      <w:start w:val="1"/>
      <w:numFmt w:val="lowerLetter"/>
      <w:lvlText w:val="%1)"/>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F62DA2">
      <w:start w:val="1"/>
      <w:numFmt w:val="lowerRoman"/>
      <w:lvlText w:val="%2."/>
      <w:lvlJc w:val="left"/>
      <w:pPr>
        <w:ind w:left="15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CA6F2C">
      <w:start w:val="1"/>
      <w:numFmt w:val="bullet"/>
      <w:lvlText w:val="•"/>
      <w:lvlJc w:val="left"/>
      <w:pPr>
        <w:ind w:left="18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178B706">
      <w:start w:val="1"/>
      <w:numFmt w:val="bullet"/>
      <w:lvlText w:val="•"/>
      <w:lvlJc w:val="left"/>
      <w:pPr>
        <w:ind w:left="25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BA48F76">
      <w:start w:val="1"/>
      <w:numFmt w:val="bullet"/>
      <w:lvlText w:val="o"/>
      <w:lvlJc w:val="left"/>
      <w:pPr>
        <w:ind w:left="32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2B361F10">
      <w:start w:val="1"/>
      <w:numFmt w:val="bullet"/>
      <w:lvlText w:val="▪"/>
      <w:lvlJc w:val="left"/>
      <w:pPr>
        <w:ind w:left="40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54A4900">
      <w:start w:val="1"/>
      <w:numFmt w:val="bullet"/>
      <w:lvlText w:val="•"/>
      <w:lvlJc w:val="left"/>
      <w:pPr>
        <w:ind w:left="47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8F0CCCE">
      <w:start w:val="1"/>
      <w:numFmt w:val="bullet"/>
      <w:lvlText w:val="o"/>
      <w:lvlJc w:val="left"/>
      <w:pPr>
        <w:ind w:left="54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9C6EC41C">
      <w:start w:val="1"/>
      <w:numFmt w:val="bullet"/>
      <w:lvlText w:val="▪"/>
      <w:lvlJc w:val="left"/>
      <w:pPr>
        <w:ind w:left="61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64350680"/>
    <w:multiLevelType w:val="hybridMultilevel"/>
    <w:tmpl w:val="2B1C56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ED06020"/>
    <w:multiLevelType w:val="hybridMultilevel"/>
    <w:tmpl w:val="E04671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7B0E0A"/>
    <w:multiLevelType w:val="hybridMultilevel"/>
    <w:tmpl w:val="87101A2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FB530E7"/>
    <w:multiLevelType w:val="hybridMultilevel"/>
    <w:tmpl w:val="7778998E"/>
    <w:lvl w:ilvl="0" w:tplc="52A047AA">
      <w:start w:val="1"/>
      <w:numFmt w:val="lowerLetter"/>
      <w:lvlText w:val="%1)"/>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76F970">
      <w:start w:val="1"/>
      <w:numFmt w:val="lowerLetter"/>
      <w:lvlText w:val="%2"/>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D4752E">
      <w:start w:val="1"/>
      <w:numFmt w:val="lowerRoman"/>
      <w:lvlText w:val="%3"/>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80CADE">
      <w:start w:val="1"/>
      <w:numFmt w:val="decimal"/>
      <w:lvlText w:val="%4"/>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2CDE9A">
      <w:start w:val="1"/>
      <w:numFmt w:val="lowerLetter"/>
      <w:lvlText w:val="%5"/>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C091DE">
      <w:start w:val="1"/>
      <w:numFmt w:val="lowerRoman"/>
      <w:lvlText w:val="%6"/>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6478D4">
      <w:start w:val="1"/>
      <w:numFmt w:val="decimal"/>
      <w:lvlText w:val="%7"/>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C392E">
      <w:start w:val="1"/>
      <w:numFmt w:val="lowerLetter"/>
      <w:lvlText w:val="%8"/>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BA0FAC">
      <w:start w:val="1"/>
      <w:numFmt w:val="lowerRoman"/>
      <w:lvlText w:val="%9"/>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83D030C"/>
    <w:multiLevelType w:val="hybridMultilevel"/>
    <w:tmpl w:val="18AC00B8"/>
    <w:lvl w:ilvl="0" w:tplc="00B68F4E">
      <w:start w:val="1"/>
      <w:numFmt w:val="lowerLetter"/>
      <w:lvlText w:val="%1)"/>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921610">
      <w:start w:val="1"/>
      <w:numFmt w:val="lowerLetter"/>
      <w:lvlText w:val="%2"/>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4DCDC">
      <w:start w:val="1"/>
      <w:numFmt w:val="lowerRoman"/>
      <w:lvlText w:val="%3"/>
      <w:lvlJc w:val="left"/>
      <w:pPr>
        <w:ind w:left="21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465C68">
      <w:start w:val="1"/>
      <w:numFmt w:val="decimal"/>
      <w:lvlText w:val="%4"/>
      <w:lvlJc w:val="left"/>
      <w:pPr>
        <w:ind w:left="28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9E917C">
      <w:start w:val="1"/>
      <w:numFmt w:val="lowerLetter"/>
      <w:lvlText w:val="%5"/>
      <w:lvlJc w:val="left"/>
      <w:pPr>
        <w:ind w:left="3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325E40">
      <w:start w:val="1"/>
      <w:numFmt w:val="lowerRoman"/>
      <w:lvlText w:val="%6"/>
      <w:lvlJc w:val="left"/>
      <w:pPr>
        <w:ind w:left="43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886A1C">
      <w:start w:val="1"/>
      <w:numFmt w:val="decimal"/>
      <w:lvlText w:val="%7"/>
      <w:lvlJc w:val="left"/>
      <w:pPr>
        <w:ind w:left="50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CA529A">
      <w:start w:val="1"/>
      <w:numFmt w:val="lowerLetter"/>
      <w:lvlText w:val="%8"/>
      <w:lvlJc w:val="left"/>
      <w:pPr>
        <w:ind w:left="5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A84866">
      <w:start w:val="1"/>
      <w:numFmt w:val="lowerRoman"/>
      <w:lvlText w:val="%9"/>
      <w:lvlJc w:val="left"/>
      <w:pPr>
        <w:ind w:left="6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DB17F6"/>
    <w:multiLevelType w:val="hybridMultilevel"/>
    <w:tmpl w:val="F4A62308"/>
    <w:lvl w:ilvl="0" w:tplc="60E6C724">
      <w:start w:val="1"/>
      <w:numFmt w:val="lowerLetter"/>
      <w:lvlText w:val="%1)"/>
      <w:lvlJc w:val="left"/>
      <w:pPr>
        <w:ind w:left="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700EF4">
      <w:start w:val="1"/>
      <w:numFmt w:val="lowerLetter"/>
      <w:lvlText w:val="%2"/>
      <w:lvlJc w:val="left"/>
      <w:pPr>
        <w:ind w:left="13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AA0E12">
      <w:start w:val="1"/>
      <w:numFmt w:val="lowerRoman"/>
      <w:lvlText w:val="%3"/>
      <w:lvlJc w:val="left"/>
      <w:pPr>
        <w:ind w:left="20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36010E">
      <w:start w:val="1"/>
      <w:numFmt w:val="decimal"/>
      <w:lvlText w:val="%4"/>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D0767A">
      <w:start w:val="1"/>
      <w:numFmt w:val="lowerLetter"/>
      <w:lvlText w:val="%5"/>
      <w:lvlJc w:val="left"/>
      <w:pPr>
        <w:ind w:left="35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907CAC">
      <w:start w:val="1"/>
      <w:numFmt w:val="lowerRoman"/>
      <w:lvlText w:val="%6"/>
      <w:lvlJc w:val="left"/>
      <w:pPr>
        <w:ind w:left="42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B6E770">
      <w:start w:val="1"/>
      <w:numFmt w:val="decimal"/>
      <w:lvlText w:val="%7"/>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E23976">
      <w:start w:val="1"/>
      <w:numFmt w:val="lowerLetter"/>
      <w:lvlText w:val="%8"/>
      <w:lvlJc w:val="left"/>
      <w:pPr>
        <w:ind w:left="56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6015EC">
      <w:start w:val="1"/>
      <w:numFmt w:val="lowerRoman"/>
      <w:lvlText w:val="%9"/>
      <w:lvlJc w:val="left"/>
      <w:pPr>
        <w:ind w:left="64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AC652BF"/>
    <w:multiLevelType w:val="hybridMultilevel"/>
    <w:tmpl w:val="70F49D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CCE40DE"/>
    <w:multiLevelType w:val="hybridMultilevel"/>
    <w:tmpl w:val="9D5A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0"/>
  </w:num>
  <w:num w:numId="3">
    <w:abstractNumId w:val="6"/>
  </w:num>
  <w:num w:numId="4">
    <w:abstractNumId w:val="4"/>
  </w:num>
  <w:num w:numId="5">
    <w:abstractNumId w:val="2"/>
  </w:num>
  <w:num w:numId="6">
    <w:abstractNumId w:val="12"/>
  </w:num>
  <w:num w:numId="7">
    <w:abstractNumId w:val="17"/>
  </w:num>
  <w:num w:numId="8">
    <w:abstractNumId w:val="18"/>
  </w:num>
  <w:num w:numId="9">
    <w:abstractNumId w:val="8"/>
  </w:num>
  <w:num w:numId="10">
    <w:abstractNumId w:val="16"/>
  </w:num>
  <w:num w:numId="11">
    <w:abstractNumId w:val="11"/>
  </w:num>
  <w:num w:numId="12">
    <w:abstractNumId w:val="19"/>
  </w:num>
  <w:num w:numId="13">
    <w:abstractNumId w:val="9"/>
  </w:num>
  <w:num w:numId="14">
    <w:abstractNumId w:val="13"/>
  </w:num>
  <w:num w:numId="15">
    <w:abstractNumId w:val="1"/>
  </w:num>
  <w:num w:numId="16">
    <w:abstractNumId w:val="3"/>
  </w:num>
  <w:num w:numId="17">
    <w:abstractNumId w:val="7"/>
  </w:num>
  <w:num w:numId="18">
    <w:abstractNumId w:val="14"/>
  </w:num>
  <w:num w:numId="19">
    <w:abstractNumId w:val="5"/>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22"/>
    <w:rsid w:val="000712A9"/>
    <w:rsid w:val="001720AD"/>
    <w:rsid w:val="00195C44"/>
    <w:rsid w:val="00205D11"/>
    <w:rsid w:val="00294AAE"/>
    <w:rsid w:val="00450D5E"/>
    <w:rsid w:val="00453253"/>
    <w:rsid w:val="00580378"/>
    <w:rsid w:val="005F1304"/>
    <w:rsid w:val="006263F2"/>
    <w:rsid w:val="00650F22"/>
    <w:rsid w:val="006A634F"/>
    <w:rsid w:val="00700978"/>
    <w:rsid w:val="00727908"/>
    <w:rsid w:val="00763D88"/>
    <w:rsid w:val="0078545E"/>
    <w:rsid w:val="00856C41"/>
    <w:rsid w:val="008F3689"/>
    <w:rsid w:val="009002B6"/>
    <w:rsid w:val="009E577F"/>
    <w:rsid w:val="00A76263"/>
    <w:rsid w:val="00A95CE7"/>
    <w:rsid w:val="00AA3EDC"/>
    <w:rsid w:val="00B35774"/>
    <w:rsid w:val="00C3723E"/>
    <w:rsid w:val="00C9759E"/>
    <w:rsid w:val="00D77BDE"/>
    <w:rsid w:val="00DA1B43"/>
    <w:rsid w:val="00EA7016"/>
    <w:rsid w:val="00EB3D3B"/>
    <w:rsid w:val="00ED56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35526F4"/>
  <w15:chartTrackingRefBased/>
  <w15:docId w15:val="{8E4AA57C-6A8F-4CA8-BC56-1546DC41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AU" w:eastAsia="en-US" w:bidi="ar-SA"/>
      </w:rPr>
    </w:rPrDefault>
    <w:pPrDefault>
      <w:pPr>
        <w:spacing w:before="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60C"/>
    <w:rPr>
      <w:sz w:val="22"/>
    </w:rPr>
  </w:style>
  <w:style w:type="paragraph" w:styleId="Heading1">
    <w:name w:val="heading 1"/>
    <w:basedOn w:val="Normal"/>
    <w:next w:val="Normal"/>
    <w:link w:val="Heading1Char"/>
    <w:uiPriority w:val="9"/>
    <w:qFormat/>
    <w:rsid w:val="000712A9"/>
    <w:pPr>
      <w:pBdr>
        <w:top w:val="single" w:sz="24" w:space="0" w:color="70AD47" w:themeColor="accent6"/>
        <w:left w:val="single" w:sz="24" w:space="0" w:color="70AD47" w:themeColor="accent6"/>
        <w:bottom w:val="single" w:sz="24" w:space="0" w:color="70AD47" w:themeColor="accent6"/>
        <w:right w:val="single" w:sz="24" w:space="0" w:color="70AD47" w:themeColor="accent6"/>
      </w:pBdr>
      <w:shd w:val="clear" w:color="auto" w:fill="70AD47" w:themeFill="accent6"/>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0712A9"/>
    <w:pPr>
      <w:pBdr>
        <w:top w:val="single" w:sz="24" w:space="0" w:color="E2EFD9" w:themeColor="accent6" w:themeTint="33"/>
        <w:left w:val="single" w:sz="24" w:space="0" w:color="E2EFD9" w:themeColor="accent6" w:themeTint="33"/>
        <w:bottom w:val="single" w:sz="24" w:space="0" w:color="E2EFD9" w:themeColor="accent6" w:themeTint="33"/>
        <w:right w:val="single" w:sz="24" w:space="0" w:color="E2EFD9" w:themeColor="accent6" w:themeTint="33"/>
      </w:pBdr>
      <w:shd w:val="clear" w:color="auto" w:fill="E2EFD9" w:themeFill="accent6" w:themeFillTint="33"/>
      <w:outlineLvl w:val="1"/>
    </w:pPr>
    <w:rPr>
      <w:caps/>
      <w:spacing w:val="15"/>
    </w:rPr>
  </w:style>
  <w:style w:type="paragraph" w:styleId="Heading3">
    <w:name w:val="heading 3"/>
    <w:basedOn w:val="Normal"/>
    <w:next w:val="Normal"/>
    <w:link w:val="Heading3Char"/>
    <w:uiPriority w:val="9"/>
    <w:unhideWhenUsed/>
    <w:qFormat/>
    <w:rsid w:val="000712A9"/>
    <w:pPr>
      <w:pBdr>
        <w:top w:val="single" w:sz="6" w:space="2" w:color="385623" w:themeColor="accent6" w:themeShade="80"/>
      </w:pBdr>
      <w:spacing w:before="300"/>
      <w:outlineLvl w:val="2"/>
    </w:pPr>
    <w:rPr>
      <w:caps/>
      <w:color w:val="385623" w:themeColor="accent6" w:themeShade="80"/>
      <w:spacing w:val="15"/>
    </w:rPr>
  </w:style>
  <w:style w:type="paragraph" w:styleId="Heading4">
    <w:name w:val="heading 4"/>
    <w:basedOn w:val="Normal"/>
    <w:next w:val="Normal"/>
    <w:link w:val="Heading4Char"/>
    <w:uiPriority w:val="9"/>
    <w:unhideWhenUsed/>
    <w:qFormat/>
    <w:rsid w:val="000712A9"/>
    <w:pPr>
      <w:pBdr>
        <w:top w:val="dotted" w:sz="6" w:space="2" w:color="538135" w:themeColor="accent6" w:themeShade="BF"/>
      </w:pBdr>
      <w:spacing w:before="200"/>
      <w:outlineLvl w:val="3"/>
    </w:pPr>
    <w:rPr>
      <w:caps/>
      <w:color w:val="538135" w:themeColor="accent6" w:themeShade="BF"/>
      <w:spacing w:val="10"/>
    </w:rPr>
  </w:style>
  <w:style w:type="paragraph" w:styleId="Heading5">
    <w:name w:val="heading 5"/>
    <w:basedOn w:val="Normal"/>
    <w:next w:val="Normal"/>
    <w:link w:val="Heading5Char"/>
    <w:uiPriority w:val="9"/>
    <w:unhideWhenUsed/>
    <w:qFormat/>
    <w:rsid w:val="000712A9"/>
    <w:pPr>
      <w:pBdr>
        <w:bottom w:val="single" w:sz="6" w:space="1" w:color="538135" w:themeColor="accent6" w:themeShade="BF"/>
      </w:pBdr>
      <w:spacing w:before="200"/>
      <w:outlineLvl w:val="4"/>
    </w:pPr>
    <w:rPr>
      <w:caps/>
      <w:color w:val="538135" w:themeColor="accent6" w:themeShade="BF"/>
      <w:spacing w:val="10"/>
    </w:rPr>
  </w:style>
  <w:style w:type="paragraph" w:styleId="Heading6">
    <w:name w:val="heading 6"/>
    <w:basedOn w:val="Normal"/>
    <w:next w:val="Normal"/>
    <w:link w:val="Heading6Char"/>
    <w:uiPriority w:val="9"/>
    <w:unhideWhenUsed/>
    <w:qFormat/>
    <w:rsid w:val="000712A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12A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12A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712A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2A9"/>
    <w:rPr>
      <w:caps/>
      <w:color w:val="FFFFFF" w:themeColor="background1"/>
      <w:spacing w:val="15"/>
      <w:sz w:val="22"/>
      <w:szCs w:val="22"/>
      <w:shd w:val="clear" w:color="auto" w:fill="70AD47" w:themeFill="accent6"/>
    </w:rPr>
  </w:style>
  <w:style w:type="character" w:customStyle="1" w:styleId="Heading2Char">
    <w:name w:val="Heading 2 Char"/>
    <w:basedOn w:val="DefaultParagraphFont"/>
    <w:link w:val="Heading2"/>
    <w:uiPriority w:val="9"/>
    <w:rsid w:val="000712A9"/>
    <w:rPr>
      <w:caps/>
      <w:spacing w:val="15"/>
      <w:shd w:val="clear" w:color="auto" w:fill="E2EFD9" w:themeFill="accent6" w:themeFillTint="33"/>
    </w:rPr>
  </w:style>
  <w:style w:type="character" w:customStyle="1" w:styleId="Heading3Char">
    <w:name w:val="Heading 3 Char"/>
    <w:basedOn w:val="DefaultParagraphFont"/>
    <w:link w:val="Heading3"/>
    <w:uiPriority w:val="9"/>
    <w:rsid w:val="000712A9"/>
    <w:rPr>
      <w:caps/>
      <w:color w:val="385623" w:themeColor="accent6" w:themeShade="80"/>
      <w:spacing w:val="15"/>
    </w:rPr>
  </w:style>
  <w:style w:type="character" w:customStyle="1" w:styleId="Heading4Char">
    <w:name w:val="Heading 4 Char"/>
    <w:basedOn w:val="DefaultParagraphFont"/>
    <w:link w:val="Heading4"/>
    <w:uiPriority w:val="9"/>
    <w:rsid w:val="000712A9"/>
    <w:rPr>
      <w:caps/>
      <w:color w:val="538135" w:themeColor="accent6" w:themeShade="BF"/>
      <w:spacing w:val="10"/>
    </w:rPr>
  </w:style>
  <w:style w:type="character" w:customStyle="1" w:styleId="Heading5Char">
    <w:name w:val="Heading 5 Char"/>
    <w:basedOn w:val="DefaultParagraphFont"/>
    <w:link w:val="Heading5"/>
    <w:uiPriority w:val="9"/>
    <w:rsid w:val="000712A9"/>
    <w:rPr>
      <w:caps/>
      <w:color w:val="538135" w:themeColor="accent6" w:themeShade="BF"/>
      <w:spacing w:val="10"/>
    </w:rPr>
  </w:style>
  <w:style w:type="character" w:customStyle="1" w:styleId="Heading6Char">
    <w:name w:val="Heading 6 Char"/>
    <w:basedOn w:val="DefaultParagraphFont"/>
    <w:link w:val="Heading6"/>
    <w:uiPriority w:val="9"/>
    <w:rsid w:val="000712A9"/>
    <w:rPr>
      <w:caps/>
      <w:color w:val="2F5496" w:themeColor="accent1" w:themeShade="BF"/>
      <w:spacing w:val="10"/>
    </w:rPr>
  </w:style>
  <w:style w:type="character" w:customStyle="1" w:styleId="Heading7Char">
    <w:name w:val="Heading 7 Char"/>
    <w:basedOn w:val="DefaultParagraphFont"/>
    <w:link w:val="Heading7"/>
    <w:uiPriority w:val="9"/>
    <w:semiHidden/>
    <w:rsid w:val="000712A9"/>
    <w:rPr>
      <w:caps/>
      <w:color w:val="2F5496" w:themeColor="accent1" w:themeShade="BF"/>
      <w:spacing w:val="10"/>
    </w:rPr>
  </w:style>
  <w:style w:type="character" w:customStyle="1" w:styleId="Heading8Char">
    <w:name w:val="Heading 8 Char"/>
    <w:basedOn w:val="DefaultParagraphFont"/>
    <w:link w:val="Heading8"/>
    <w:uiPriority w:val="9"/>
    <w:semiHidden/>
    <w:rsid w:val="000712A9"/>
    <w:rPr>
      <w:caps/>
      <w:spacing w:val="10"/>
      <w:sz w:val="18"/>
      <w:szCs w:val="18"/>
    </w:rPr>
  </w:style>
  <w:style w:type="character" w:customStyle="1" w:styleId="Heading9Char">
    <w:name w:val="Heading 9 Char"/>
    <w:basedOn w:val="DefaultParagraphFont"/>
    <w:link w:val="Heading9"/>
    <w:uiPriority w:val="9"/>
    <w:semiHidden/>
    <w:rsid w:val="000712A9"/>
    <w:rPr>
      <w:i/>
      <w:iCs/>
      <w:caps/>
      <w:spacing w:val="10"/>
      <w:sz w:val="18"/>
      <w:szCs w:val="18"/>
    </w:rPr>
  </w:style>
  <w:style w:type="paragraph" w:styleId="Caption">
    <w:name w:val="caption"/>
    <w:basedOn w:val="Normal"/>
    <w:next w:val="Normal"/>
    <w:uiPriority w:val="35"/>
    <w:semiHidden/>
    <w:unhideWhenUsed/>
    <w:qFormat/>
    <w:rsid w:val="000712A9"/>
    <w:rPr>
      <w:b/>
      <w:bCs/>
      <w:color w:val="2F5496" w:themeColor="accent1" w:themeShade="BF"/>
      <w:sz w:val="16"/>
      <w:szCs w:val="16"/>
    </w:rPr>
  </w:style>
  <w:style w:type="paragraph" w:styleId="Title">
    <w:name w:val="Title"/>
    <w:basedOn w:val="Normal"/>
    <w:next w:val="Normal"/>
    <w:link w:val="TitleChar"/>
    <w:uiPriority w:val="10"/>
    <w:qFormat/>
    <w:rsid w:val="000712A9"/>
    <w:pPr>
      <w:spacing w:before="0"/>
    </w:pPr>
    <w:rPr>
      <w:rFonts w:asciiTheme="majorHAnsi" w:eastAsiaTheme="majorEastAsia" w:hAnsiTheme="majorHAnsi" w:cstheme="majorBidi"/>
      <w:b/>
      <w:color w:val="FFFFFF" w:themeColor="background1"/>
      <w:spacing w:val="10"/>
      <w:sz w:val="68"/>
      <w:szCs w:val="52"/>
    </w:rPr>
  </w:style>
  <w:style w:type="character" w:customStyle="1" w:styleId="TitleChar">
    <w:name w:val="Title Char"/>
    <w:basedOn w:val="DefaultParagraphFont"/>
    <w:link w:val="Title"/>
    <w:uiPriority w:val="10"/>
    <w:rsid w:val="000712A9"/>
    <w:rPr>
      <w:rFonts w:asciiTheme="majorHAnsi" w:eastAsiaTheme="majorEastAsia" w:hAnsiTheme="majorHAnsi" w:cstheme="majorBidi"/>
      <w:b/>
      <w:color w:val="FFFFFF" w:themeColor="background1"/>
      <w:spacing w:val="10"/>
      <w:sz w:val="68"/>
      <w:szCs w:val="52"/>
    </w:rPr>
  </w:style>
  <w:style w:type="paragraph" w:styleId="Subtitle">
    <w:name w:val="Subtitle"/>
    <w:basedOn w:val="Normal"/>
    <w:next w:val="Normal"/>
    <w:link w:val="SubtitleChar"/>
    <w:uiPriority w:val="11"/>
    <w:qFormat/>
    <w:rsid w:val="000712A9"/>
    <w:pPr>
      <w:spacing w:before="0" w:after="500" w:line="240" w:lineRule="auto"/>
      <w:ind w:left="340"/>
    </w:pPr>
    <w:rPr>
      <w:rFonts w:asciiTheme="majorHAnsi" w:hAnsiTheme="majorHAnsi"/>
      <w:caps/>
      <w:color w:val="FFFFFF" w:themeColor="background1"/>
      <w:spacing w:val="10"/>
      <w:sz w:val="44"/>
      <w:szCs w:val="21"/>
    </w:rPr>
  </w:style>
  <w:style w:type="character" w:customStyle="1" w:styleId="SubtitleChar">
    <w:name w:val="Subtitle Char"/>
    <w:basedOn w:val="DefaultParagraphFont"/>
    <w:link w:val="Subtitle"/>
    <w:uiPriority w:val="11"/>
    <w:rsid w:val="000712A9"/>
    <w:rPr>
      <w:rFonts w:asciiTheme="majorHAnsi" w:hAnsiTheme="majorHAnsi"/>
      <w:caps/>
      <w:color w:val="FFFFFF" w:themeColor="background1"/>
      <w:spacing w:val="10"/>
      <w:sz w:val="44"/>
      <w:szCs w:val="21"/>
    </w:rPr>
  </w:style>
  <w:style w:type="character" w:styleId="Strong">
    <w:name w:val="Strong"/>
    <w:uiPriority w:val="22"/>
    <w:qFormat/>
    <w:rsid w:val="000712A9"/>
    <w:rPr>
      <w:b/>
      <w:bCs/>
    </w:rPr>
  </w:style>
  <w:style w:type="character" w:styleId="Emphasis">
    <w:name w:val="Emphasis"/>
    <w:uiPriority w:val="20"/>
    <w:qFormat/>
    <w:rsid w:val="000712A9"/>
    <w:rPr>
      <w:caps/>
      <w:color w:val="1F3763" w:themeColor="accent1" w:themeShade="7F"/>
      <w:spacing w:val="5"/>
    </w:rPr>
  </w:style>
  <w:style w:type="paragraph" w:styleId="NoSpacing">
    <w:name w:val="No Spacing"/>
    <w:uiPriority w:val="1"/>
    <w:qFormat/>
    <w:rsid w:val="000712A9"/>
    <w:pPr>
      <w:spacing w:line="240" w:lineRule="auto"/>
    </w:pPr>
  </w:style>
  <w:style w:type="paragraph" w:styleId="Quote">
    <w:name w:val="Quote"/>
    <w:basedOn w:val="Normal"/>
    <w:next w:val="Normal"/>
    <w:link w:val="QuoteChar"/>
    <w:uiPriority w:val="29"/>
    <w:qFormat/>
    <w:rsid w:val="000712A9"/>
    <w:rPr>
      <w:i/>
      <w:iCs/>
      <w:sz w:val="24"/>
      <w:szCs w:val="24"/>
    </w:rPr>
  </w:style>
  <w:style w:type="character" w:customStyle="1" w:styleId="QuoteChar">
    <w:name w:val="Quote Char"/>
    <w:basedOn w:val="DefaultParagraphFont"/>
    <w:link w:val="Quote"/>
    <w:uiPriority w:val="29"/>
    <w:rsid w:val="000712A9"/>
    <w:rPr>
      <w:i/>
      <w:iCs/>
      <w:sz w:val="24"/>
      <w:szCs w:val="24"/>
    </w:rPr>
  </w:style>
  <w:style w:type="paragraph" w:styleId="IntenseQuote">
    <w:name w:val="Intense Quote"/>
    <w:basedOn w:val="Normal"/>
    <w:next w:val="Normal"/>
    <w:link w:val="IntenseQuoteChar"/>
    <w:uiPriority w:val="30"/>
    <w:qFormat/>
    <w:rsid w:val="000712A9"/>
    <w:pPr>
      <w:spacing w:before="240" w:after="240" w:line="240" w:lineRule="auto"/>
      <w:ind w:left="1080" w:right="1080"/>
      <w:jc w:val="center"/>
    </w:pPr>
    <w:rPr>
      <w:color w:val="70AD47" w:themeColor="accent6"/>
      <w:sz w:val="24"/>
      <w:szCs w:val="24"/>
    </w:rPr>
  </w:style>
  <w:style w:type="character" w:customStyle="1" w:styleId="IntenseQuoteChar">
    <w:name w:val="Intense Quote Char"/>
    <w:basedOn w:val="DefaultParagraphFont"/>
    <w:link w:val="IntenseQuote"/>
    <w:uiPriority w:val="30"/>
    <w:rsid w:val="000712A9"/>
    <w:rPr>
      <w:color w:val="70AD47" w:themeColor="accent6"/>
      <w:sz w:val="24"/>
      <w:szCs w:val="24"/>
    </w:rPr>
  </w:style>
  <w:style w:type="character" w:styleId="SubtleEmphasis">
    <w:name w:val="Subtle Emphasis"/>
    <w:uiPriority w:val="19"/>
    <w:qFormat/>
    <w:rsid w:val="000712A9"/>
    <w:rPr>
      <w:i/>
      <w:iCs/>
      <w:color w:val="1F3763" w:themeColor="accent1" w:themeShade="7F"/>
    </w:rPr>
  </w:style>
  <w:style w:type="character" w:styleId="IntenseEmphasis">
    <w:name w:val="Intense Emphasis"/>
    <w:uiPriority w:val="21"/>
    <w:qFormat/>
    <w:rsid w:val="000712A9"/>
    <w:rPr>
      <w:b/>
      <w:bCs/>
      <w:caps/>
      <w:color w:val="385623" w:themeColor="accent6" w:themeShade="80"/>
      <w:spacing w:val="10"/>
    </w:rPr>
  </w:style>
  <w:style w:type="character" w:styleId="SubtleReference">
    <w:name w:val="Subtle Reference"/>
    <w:uiPriority w:val="31"/>
    <w:qFormat/>
    <w:rsid w:val="000712A9"/>
    <w:rPr>
      <w:b/>
      <w:bCs/>
      <w:color w:val="70AD47" w:themeColor="accent6"/>
    </w:rPr>
  </w:style>
  <w:style w:type="character" w:styleId="IntenseReference">
    <w:name w:val="Intense Reference"/>
    <w:uiPriority w:val="32"/>
    <w:qFormat/>
    <w:rsid w:val="000712A9"/>
    <w:rPr>
      <w:b/>
      <w:bCs/>
      <w:i/>
      <w:iCs/>
      <w:caps/>
      <w:color w:val="70AD47" w:themeColor="accent6"/>
    </w:rPr>
  </w:style>
  <w:style w:type="character" w:styleId="BookTitle">
    <w:name w:val="Book Title"/>
    <w:uiPriority w:val="33"/>
    <w:qFormat/>
    <w:rsid w:val="000712A9"/>
    <w:rPr>
      <w:b/>
      <w:bCs/>
      <w:i/>
      <w:iCs/>
      <w:spacing w:val="0"/>
    </w:rPr>
  </w:style>
  <w:style w:type="paragraph" w:styleId="TOCHeading">
    <w:name w:val="TOC Heading"/>
    <w:basedOn w:val="Heading1"/>
    <w:next w:val="Normal"/>
    <w:uiPriority w:val="39"/>
    <w:semiHidden/>
    <w:unhideWhenUsed/>
    <w:qFormat/>
    <w:rsid w:val="000712A9"/>
    <w:pPr>
      <w:outlineLvl w:val="9"/>
    </w:pPr>
  </w:style>
  <w:style w:type="paragraph" w:customStyle="1" w:styleId="Template">
    <w:name w:val="Template"/>
    <w:basedOn w:val="Normal"/>
    <w:qFormat/>
    <w:rsid w:val="000712A9"/>
    <w:pPr>
      <w:ind w:left="340"/>
    </w:pPr>
  </w:style>
  <w:style w:type="table" w:styleId="TableGrid">
    <w:name w:val="Table Grid"/>
    <w:basedOn w:val="TableNormal"/>
    <w:uiPriority w:val="39"/>
    <w:rsid w:val="00450D5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3689"/>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F3689"/>
  </w:style>
  <w:style w:type="paragraph" w:styleId="Footer">
    <w:name w:val="footer"/>
    <w:basedOn w:val="Normal"/>
    <w:link w:val="FooterChar"/>
    <w:uiPriority w:val="99"/>
    <w:unhideWhenUsed/>
    <w:rsid w:val="008F3689"/>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F3689"/>
  </w:style>
  <w:style w:type="table" w:customStyle="1" w:styleId="TableGrid0">
    <w:name w:val="TableGrid"/>
    <w:rsid w:val="00ED560C"/>
    <w:pPr>
      <w:spacing w:before="0" w:line="240" w:lineRule="auto"/>
    </w:pPr>
    <w:rPr>
      <w:rFonts w:eastAsiaTheme="minorEastAsia"/>
      <w:sz w:val="22"/>
      <w:szCs w:val="22"/>
      <w:lang w:eastAsia="en-AU"/>
    </w:rPr>
    <w:tblPr>
      <w:tblCellMar>
        <w:top w:w="0" w:type="dxa"/>
        <w:left w:w="0" w:type="dxa"/>
        <w:bottom w:w="0" w:type="dxa"/>
        <w:right w:w="0" w:type="dxa"/>
      </w:tblCellMar>
    </w:tblPr>
  </w:style>
  <w:style w:type="paragraph" w:styleId="ListParagraph">
    <w:name w:val="List Paragraph"/>
    <w:basedOn w:val="Normal"/>
    <w:uiPriority w:val="34"/>
    <w:qFormat/>
    <w:rsid w:val="00A76263"/>
    <w:pPr>
      <w:ind w:left="720"/>
      <w:contextualSpacing/>
    </w:pPr>
  </w:style>
  <w:style w:type="character" w:styleId="Hyperlink">
    <w:name w:val="Hyperlink"/>
    <w:basedOn w:val="DefaultParagraphFont"/>
    <w:uiPriority w:val="99"/>
    <w:unhideWhenUsed/>
    <w:rsid w:val="00A762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Bhardwaj</dc:creator>
  <cp:keywords/>
  <dc:description/>
  <cp:lastModifiedBy>Mohit Bhardwaj</cp:lastModifiedBy>
  <cp:revision>5</cp:revision>
  <cp:lastPrinted>2020-11-11T03:15:00Z</cp:lastPrinted>
  <dcterms:created xsi:type="dcterms:W3CDTF">2020-11-11T21:39:00Z</dcterms:created>
  <dcterms:modified xsi:type="dcterms:W3CDTF">2020-11-17T00:50:00Z</dcterms:modified>
</cp:coreProperties>
</file>