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District 7 Fire/Rescue</w:t>
      </w:r>
    </w:p>
    <w:p>
      <w:pPr>
        <w:pStyle w:val="Heading2"/>
        <w:jc w:val="center"/>
      </w:pPr>
      <w:r>
        <w:t>Monthly Analysis Report</w:t>
      </w:r>
    </w:p>
    <w:p>
      <w:pPr>
        <w:pStyle w:val="Heading1"/>
      </w:pPr>
      <w:r>
        <w:t>Executive Summary</w:t>
      </w:r>
    </w:p>
    <w:p>
      <w:r>
        <w:t>Total Monthly Calls: 296</w:t>
      </w:r>
    </w:p>
    <w:p>
      <w:r>
        <w:t>Total Calls With Usable Call Log Records: 292</w:t>
      </w:r>
    </w:p>
    <w:p>
      <w:r>
        <w:t>Total 1st Due Calls: 277</w:t>
      </w:r>
    </w:p>
    <w:p>
      <w:r>
        <w:t>Total 1st Due Emergent Calls: 198</w:t>
      </w:r>
    </w:p>
    <w:p>
      <w:r>
        <w:t>4 calls were identified in the monthly incident list but had insufficient call-log data for timing or performance analysis. These calls were included in station call totals but excluded from response-time, overlap, duration, and other performance metrics.</w:t>
      </w:r>
    </w:p>
    <w:p>
      <w:r>
        <w:t>Average 1st Due Emergent Response Time: 8:01</w:t>
      </w:r>
    </w:p>
    <w:p>
      <w:r>
        <w:t>90th Percentile 1st Due Emergent Response Time: 12:23</w:t>
      </w:r>
    </w:p>
    <w:p>
      <w:r>
        <w:t>67 emergent 1st due calls exceeded 480 seconds (33.84%).</w:t>
      </w:r>
    </w:p>
    <w:p>
      <w:r>
        <w:t>These delayed responses occurred with an average of 0.64 simultaneous incidents, indicating increased system demand during performance degradation.</w:t>
      </w:r>
    </w:p>
    <w:p>
      <w:r>
        <w:t>49.25% of delayed emergent calls occurred while at least one other incident was active.</w:t>
      </w:r>
    </w:p>
    <w:p>
      <w:pPr>
        <w:pStyle w:val="Heading1"/>
      </w:pPr>
      <w:r>
        <w:t>Station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Station</w:t>
            </w:r>
          </w:p>
        </w:tc>
        <w:tc>
          <w:tcPr>
            <w:tcW w:type="dxa" w:w="960"/>
          </w:tcPr>
          <w:p>
            <w:r>
              <w:t>Total Calls</w:t>
            </w:r>
          </w:p>
        </w:tc>
        <w:tc>
          <w:tcPr>
            <w:tcW w:type="dxa" w:w="960"/>
          </w:tcPr>
          <w:p>
            <w:r>
              <w:t>Insufficient Data</w:t>
            </w:r>
          </w:p>
        </w:tc>
        <w:tc>
          <w:tcPr>
            <w:tcW w:type="dxa" w:w="960"/>
          </w:tcPr>
          <w:p>
            <w:r>
              <w:t>1st Due Calls</w:t>
            </w:r>
          </w:p>
        </w:tc>
        <w:tc>
          <w:tcPr>
            <w:tcW w:type="dxa" w:w="960"/>
          </w:tcPr>
          <w:p>
            <w:r>
              <w:t>Emergent 1st Due Calls</w:t>
            </w:r>
          </w:p>
        </w:tc>
        <w:tc>
          <w:tcPr>
            <w:tcW w:type="dxa" w:w="960"/>
          </w:tcPr>
          <w:p>
            <w:r>
              <w:t>Avg Response</w:t>
            </w:r>
          </w:p>
        </w:tc>
        <w:tc>
          <w:tcPr>
            <w:tcW w:type="dxa" w:w="960"/>
          </w:tcPr>
          <w:p>
            <w:r>
              <w:t>90th %</w:t>
            </w:r>
          </w:p>
        </w:tc>
        <w:tc>
          <w:tcPr>
            <w:tcW w:type="dxa" w:w="960"/>
          </w:tcPr>
          <w:p>
            <w:r>
              <w:t>&gt;480 Calls</w:t>
            </w:r>
          </w:p>
        </w:tc>
        <w:tc>
          <w:tcPr>
            <w:tcW w:type="dxa" w:w="960"/>
          </w:tcPr>
          <w:p>
            <w:r>
              <w:t>% &gt;480</w:t>
            </w:r>
          </w:p>
        </w:tc>
      </w:tr>
      <w:tr>
        <w:tc>
          <w:tcPr>
            <w:tcW w:type="dxa" w:w="960"/>
          </w:tcPr>
          <w:p>
            <w:r>
              <w:t>115</w:t>
            </w:r>
          </w:p>
        </w:tc>
        <w:tc>
          <w:tcPr>
            <w:tcW w:type="dxa" w:w="960"/>
          </w:tcPr>
          <w:p>
            <w:r>
              <w:t>256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240</w:t>
            </w:r>
          </w:p>
        </w:tc>
        <w:tc>
          <w:tcPr>
            <w:tcW w:type="dxa" w:w="960"/>
          </w:tcPr>
          <w:p>
            <w:r>
              <w:t>171</w:t>
            </w:r>
          </w:p>
        </w:tc>
        <w:tc>
          <w:tcPr>
            <w:tcW w:type="dxa" w:w="960"/>
          </w:tcPr>
          <w:p>
            <w:r>
              <w:t>7:53</w:t>
            </w:r>
          </w:p>
        </w:tc>
        <w:tc>
          <w:tcPr>
            <w:tcW w:type="dxa" w:w="960"/>
          </w:tcPr>
          <w:p>
            <w:r>
              <w:t>12:03</w:t>
            </w:r>
          </w:p>
        </w:tc>
        <w:tc>
          <w:tcPr>
            <w:tcW w:type="dxa" w:w="960"/>
          </w:tcPr>
          <w:p>
            <w:r>
              <w:t>59</w:t>
            </w:r>
          </w:p>
        </w:tc>
        <w:tc>
          <w:tcPr>
            <w:tcW w:type="dxa" w:w="960"/>
          </w:tcPr>
          <w:p>
            <w:r>
              <w:t>34.5%</w:t>
            </w:r>
          </w:p>
        </w:tc>
      </w:tr>
      <w:tr>
        <w:tc>
          <w:tcPr>
            <w:tcW w:type="dxa" w:w="960"/>
          </w:tcPr>
          <w:p>
            <w:r>
              <w:t>116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37</w:t>
            </w:r>
          </w:p>
        </w:tc>
        <w:tc>
          <w:tcPr>
            <w:tcW w:type="dxa" w:w="960"/>
          </w:tcPr>
          <w:p>
            <w:r>
              <w:t>27</w:t>
            </w:r>
          </w:p>
        </w:tc>
        <w:tc>
          <w:tcPr>
            <w:tcW w:type="dxa" w:w="960"/>
          </w:tcPr>
          <w:p>
            <w:r>
              <w:t>8:59</w:t>
            </w:r>
          </w:p>
        </w:tc>
        <w:tc>
          <w:tcPr>
            <w:tcW w:type="dxa" w:w="960"/>
          </w:tcPr>
          <w:p>
            <w:r>
              <w:t>12:23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29.6%</w:t>
            </w:r>
          </w:p>
        </w:tc>
      </w:tr>
    </w:tbl>
    <w:p>
      <w:pPr>
        <w:pStyle w:val="Heading1"/>
      </w:pPr>
      <w:r>
        <w:t>Mutual Aid Activity</w:t>
      </w:r>
    </w:p>
    <w:p>
      <w:r>
        <w:t>Total Mutual Aid Calls Given: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Station</w:t>
            </w:r>
          </w:p>
        </w:tc>
        <w:tc>
          <w:tcPr>
            <w:tcW w:type="dxa" w:w="4320"/>
          </w:tcPr>
          <w:p>
            <w:r>
              <w:t>Mutual Aid Calls</w:t>
            </w:r>
          </w:p>
        </w:tc>
      </w:tr>
      <w:tr>
        <w:tc>
          <w:tcPr>
            <w:tcW w:type="dxa" w:w="4320"/>
          </w:tcPr>
          <w:p>
            <w:r>
              <w:t>115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116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pPr>
        <w:pStyle w:val="Heading1"/>
      </w:pPr>
      <w:r>
        <w:t>System Load &amp; Overlapping Incidents</w:t>
      </w:r>
    </w:p>
    <w:p>
      <w:r>
        <w:t>Delayed emergent responses (&gt;480 sec) were associated with an average of 0.64 concurrent incidents. Periods of system stress were identified where overlapping calls were greater than or equal to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Station</w:t>
            </w:r>
          </w:p>
        </w:tc>
        <w:tc>
          <w:tcPr>
            <w:tcW w:type="dxa" w:w="1728"/>
          </w:tcPr>
          <w:p>
            <w:r>
              <w:t>1st Due Emergent Calls &gt;480</w:t>
            </w:r>
          </w:p>
        </w:tc>
        <w:tc>
          <w:tcPr>
            <w:tcW w:type="dxa" w:w="1728"/>
          </w:tcPr>
          <w:p>
            <w:r>
              <w:t>Calls w/ Overlap</w:t>
            </w:r>
          </w:p>
        </w:tc>
        <w:tc>
          <w:tcPr>
            <w:tcW w:type="dxa" w:w="1728"/>
          </w:tcPr>
          <w:p>
            <w:r>
              <w:t>Avg Overlapping Calls</w:t>
            </w:r>
          </w:p>
        </w:tc>
        <w:tc>
          <w:tcPr>
            <w:tcW w:type="dxa" w:w="1728"/>
          </w:tcPr>
          <w:p>
            <w:r>
              <w:t>% w/ Overlap</w:t>
            </w:r>
          </w:p>
        </w:tc>
      </w:tr>
      <w:tr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0.59</w:t>
            </w:r>
          </w:p>
        </w:tc>
        <w:tc>
          <w:tcPr>
            <w:tcW w:type="dxa" w:w="1728"/>
          </w:tcPr>
          <w:p>
            <w:r>
              <w:t>47.5%</w:t>
            </w:r>
          </w:p>
        </w:tc>
      </w:tr>
      <w:tr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62.5%</w:t>
            </w:r>
          </w:p>
        </w:tc>
      </w:tr>
    </w:tbl>
    <w:p>
      <w:pPr>
        <w:pStyle w:val="Heading1"/>
      </w:pPr>
      <w:r>
        <w:t>Call Volume by Hour of Day</w:t>
      </w:r>
    </w:p>
    <w:p>
      <w:r>
        <w:t>The following chart illustrates call distribution across the 24-hour period. Shaded areas denote hours where overlapping calls were greater than or equal to 2. Calls with insufficient timing data were excluded from this hourly chart.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ls_by_hou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Analysis by Michael Boulding | May 06,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