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Bdr>
          <w:bottom/>
        </w:pBdr>
        <w:snapToGrid/>
        <w:spacing w:before="0" w:after="0" w:line="240"/>
        <w:ind w:left="0" w:right="0"/>
        <w:jc w:val="center"/>
        <w:rPr/>
      </w:pPr>
      <w:r>
        <w:rPr>
          <w:rFonts w:ascii="黑体" w:hAnsi="黑体" w:eastAsia="黑体" w:cs="黑体"/>
          <w:b/>
          <w:i w:val="false"/>
          <w:strike w:val="false"/>
          <w:color w:val="000000"/>
          <w:sz w:val="28"/>
          <w:u w:val="none"/>
        </w:rPr>
        <w:t>香港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28"/>
          <w:u w:val="none"/>
        </w:rPr>
        <w:t>高教所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28"/>
          <w:u w:val="none"/>
        </w:rPr>
        <w:t>官网</w:t>
      </w:r>
      <w:r>
        <w:rPr>
          <w:rFonts w:ascii="黑体" w:hAnsi="黑体" w:eastAsia="黑体" w:cs="黑体"/>
          <w:b/>
          <w:i w:val="false"/>
          <w:strike w:val="false"/>
          <w:color w:val="000000"/>
          <w:sz w:val="28"/>
          <w:u w:val="none"/>
        </w:rPr>
        <w:t>简介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香港高等教育研究所（Hong Kong Institute of Higher Education Research, HKIHER）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作为一所独立的全球性创新学术机构，香港高等教育研究所（HKIHER）以「融合科学与全球治理」为核心使命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始终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聚焦于教育理论与实践、跨学科整合及前沿创新研究，致力于探索未来教育新范式、构建蓬勃的跨学科学术生态，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成为具有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区域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影响力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的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国际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学术智库，为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高等教育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与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学术研究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领域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的可持续发展与创新事业贡献独立的学术洞见与解决方案。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1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>
          <w:sz w:val="28"/>
        </w:rPr>
      </w:pPr>
      <w:r>
        <w:rPr>
          <w:rFonts w:ascii="黑体" w:hAnsi="黑体" w:eastAsia="黑体" w:cs="黑体"/>
          <w:b/>
          <w:i w:val="false"/>
          <w:strike w:val="false"/>
          <w:color w:val="0000FF"/>
          <w:sz w:val="27"/>
          <w:u w:val="none"/>
        </w:rPr>
        <w:t>使命任务</w:t>
      </w:r>
    </w:p>
    <w:p>
      <w:pPr>
        <w:snapToGrid/>
        <w:spacing w:before="0" w:after="0" w:line="240"/>
        <w:ind w:left="0" w:right="0"/>
        <w:jc w:val="both"/>
        <w:rPr>
          <w:sz w:val="26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1.构建融合科学研究体系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在全球化视野下，HKIHER致力于打破自然科学与社会科学的传统壁垒。我们搭建前沿的跨学科融合平台，尤其聚焦于人工智能等领域的交叉创新。通过整合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人工智能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大数据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、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健康科学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与人文社科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等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多元化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学科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视角，我们深入揭示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社会治理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复杂挑战的深层逻辑，旨在构建具有突破性的融合科学理论框架。</w:t>
      </w:r>
    </w:p>
    <w:p>
      <w:pPr>
        <w:snapToGrid/>
        <w:spacing w:before="0" w:after="0" w:line="240"/>
        <w:ind w:left="0" w:right="0"/>
        <w:jc w:val="both"/>
        <w:rPr>
          <w:sz w:val="26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2.推动理论与实践动态融合​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本研究所致力于创建“学术研究—政策转化—实地验证”的闭环机制。我们推动将前沿的跨学科理论转化为可行的实践工具与解决方案，确保学术成果能高效地应用于解决全球性的现实问题。</w:t>
      </w:r>
    </w:p>
    <w:p>
      <w:pPr>
        <w:snapToGrid/>
        <w:spacing w:before="0" w:after="0" w:line="240"/>
        <w:ind w:left="0" w:right="0"/>
        <w:jc w:val="both"/>
        <w:rPr>
          <w:sz w:val="26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3.赋能全球治理与可持续发展​</w:t>
      </w:r>
    </w:p>
    <w:p>
      <w:pPr>
        <w:snapToGrid/>
        <w:spacing w:before="0" w:after="0" w:line="240"/>
        <w:ind w:left="0" w:right="0"/>
        <w:jc w:val="both"/>
        <w:rPr>
          <w:sz w:val="26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HKIHER秉持独立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公正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的学术立场，积极参与全球及区域治理研究。我们专注于为国际组织、各国政府及地区提供科学、严谨的政策建议与可持续发展方案，以促进全球资源的优化配置与协同发展，应对本地及全球挑战。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​</w:t>
      </w:r>
    </w:p>
    <w:p>
      <w:pPr>
        <w:snapToGrid/>
        <w:spacing w:before="0" w:after="0" w:line="240"/>
        <w:ind w:left="0" w:right="0"/>
        <w:jc w:val="both"/>
        <w:rPr>
          <w:sz w:val="26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4.引领跨域创新实践探索​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我们聚焦于颠覆性技术与社会系统的融合创新，积极构建“产学研用”一体化的全球协作网络。HKIHER致力于孵化以“AI+”和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可持续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性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健康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治理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等为代表的创新项目，为构建全球创新生态系统提供可复制的成功范式。</w:t>
      </w:r>
    </w:p>
    <w:p>
      <w:pPr>
        <w:snapToGrid/>
        <w:spacing w:before="0" w:after="0" w:line="240"/>
        <w:ind w:left="0" w:right="0"/>
        <w:jc w:val="both"/>
        <w:rPr>
          <w:sz w:val="26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5.培育跨学科全球领军人才​</w:t>
      </w:r>
    </w:p>
    <w:p>
      <w:pPr>
        <w:snapToGrid/>
        <w:spacing w:before="0" w:after="0" w:line="240"/>
        <w:ind w:left="0" w:right="0"/>
        <w:jc w:val="both"/>
        <w:rPr>
          <w:sz w:val="26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​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我们开创“学术深耕与全球实践”相结合的人才培养模式。通过组织国际联合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科研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项目与跨国合作，本研究所致力于培育兼具深厚科学素养、人文关怀与全球领导力的复合型顶尖人才。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1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>
          <w:sz w:val="28"/>
        </w:rPr>
      </w:pPr>
      <w:r>
        <w:rPr>
          <w:rFonts w:ascii="黑体" w:hAnsi="黑体" w:eastAsia="黑体" w:cs="黑体"/>
          <w:b/>
          <w:i w:val="false"/>
          <w:strike w:val="false"/>
          <w:color w:val="0000FF"/>
          <w:sz w:val="27"/>
          <w:u w:val="none"/>
        </w:rPr>
        <w:t>研究领域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1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.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人文与社会科学 (Humanities and Social Sciences)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深入探究人类文化、社会结构与思想行为的演变规律。本领域涵盖哲学、语言学、历史、政经、社会、教育、法律及艺术等多个学科，致力于解析人与社会之间的复杂互动及其深层价值。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2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.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人工智能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的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跨学科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应用 (Applied Artificial Intelligence)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专注于将机器学习、自然语言处理等前沿人工智能技术，与医疗、教育、金融及工业等关键领域深度融合。我们致力于开发创新解决方案，以应对行业挑战，驱动产业智能化变革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并为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业界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与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学界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提供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交流平台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。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3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.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可持续健康科学 (Sustainable Health Science)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聚焦于个体与群体的长远福祉，综合环境、社会及经济等多维因素，探索创新的健康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管理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与疾病预防策略。我们致力于构建兼具生态韧性与社会公平的未来医疗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与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公共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卫生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体系。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4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.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跨学科前沿研究 (Interdisciplinary and Emerging Research)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突破传统学科疆界，整合多元理论与方法，针对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人工智能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跨学科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应用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、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可持续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健康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科学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理论与实践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、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人文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与艺术教育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融合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创新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等重大复杂议题展开前瞻性研究，旨在催生新知识、新范式与突破性解决方案。 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</w:p>
    <w:p>
      <w:pPr>
        <w:snapToGrid/>
        <w:spacing w:before="0" w:after="0" w:line="240"/>
        <w:ind w:left="0" w:right="0"/>
        <w:jc w:val="both"/>
        <w:rPr>
          <w:sz w:val="28"/>
        </w:rPr>
      </w:pPr>
      <w:r>
        <w:rPr>
          <w:rFonts w:ascii="黑体" w:hAnsi="黑体" w:eastAsia="黑体" w:cs="黑体"/>
          <w:b/>
          <w:i w:val="false"/>
          <w:strike w:val="false"/>
          <w:color w:val="0000FF"/>
          <w:sz w:val="27"/>
          <w:u w:val="none"/>
        </w:rPr>
        <w:t>主办学术期刊</w:t>
      </w:r>
      <w:r>
        <w:rPr>
          <w:rFonts w:ascii="黑体" w:hAnsi="黑体" w:eastAsia="黑体" w:cs="黑体"/>
          <w:b/>
          <w:i w:val="false"/>
          <w:strike w:val="false"/>
          <w:color w:val="0000FF"/>
          <w:sz w:val="27"/>
          <w:u w:val="none"/>
        </w:rPr>
        <w:t xml:space="preserve"> 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（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开放获取 Open Access、双盲同行评审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）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1.《跨学科创新与融合研究》（Journal of Applied AI and Interdisciplinary Innovations,JTII）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简介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：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本刊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为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HKIHER主办的中文学术期刊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聚焦于多学科的深度交融，鼓励打破传统学科学术壁垒，以多元视角探讨跨学科的理论建构与创新实践。收稿范围涵盖自然科学、人文社会科学、医学及农学等领域的交叉与协同研究。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J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T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I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I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以推动前沿跨学科探索为使命，旨在为学界贡献创新思路，助力应对复杂的现实挑战。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2.《Journal of Applied AI and Interdisciplinary Innovations》（应用式人工智能与跨学科创新，JAAI-II）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简介：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本刊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为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HKIHER主办的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高水平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英文学术期刊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聚焦于人工智能与多学科的融合创新，致力于发表 AI 在医疗、教育、金融及工业等领域的应用研究成果，并深度探索 AI 技术与社会学、心理学等学科结合的前沿实践。JAAI-II旨在为全球学者构建一个高水平的学术交流平台，以跨学科智慧驱动 AI 技术，解决全球性的复杂难题。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3.《Journal of Sustainable Health Scienceand Practice》（可持续健康科学与实践，JSHSP）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简介：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本刊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为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HKIHER主办的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中高端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英文学术期刊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关注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可持续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医疗、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公共卫生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与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营养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、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环境健康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影响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、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护理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与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健康管理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等领域的协同发展，致力于融合前沿科学理论与创新实践案例。JSHSP为全球学者提供了一个交流思想的平台，旨在以跨学科视角推动可持续健康理念的实践与落地，助力构建一个兼顾人类福祉与环境健康的未来。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4.《International Journalof Social Sciences and Arts Education》（国际社会科学与艺术教育，IJSSAE）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简介：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本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刊为HKIHER主办的英文学术期刊，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专注于社会科学与艺术教育的交叉与融合，为全球研究者提供一个探讨社会学、政治学等社科理论如何与艺术、教育学实践相结合的专业平台。IJSSAE致力于促进人文社会科学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理论与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实践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的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对话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和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发展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，以期推动教育革新与文化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艺术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的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创新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与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融合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。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b/>
          <w:i w:val="false"/>
          <w:strike w:val="false"/>
          <w:color w:val="0000FF"/>
          <w:sz w:val="27"/>
          <w:u w:val="none"/>
        </w:rPr>
      </w:pPr>
      <w:r>
        <w:rPr>
          <w:rFonts w:ascii="黑体" w:hAnsi="黑体" w:eastAsia="黑体" w:cs="黑体"/>
          <w:b/>
          <w:i w:val="false"/>
          <w:strike w:val="false"/>
          <w:color w:val="0000FF"/>
          <w:sz w:val="27"/>
          <w:u w:val="none"/>
        </w:rPr>
        <w:t> 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b/>
          <w:i w:val="false"/>
          <w:strike w:val="false"/>
          <w:color w:val="0000FF"/>
          <w:sz w:val="27"/>
          <w:u w:val="none"/>
        </w:rPr>
      </w:pPr>
      <w:r>
        <w:rPr>
          <w:rFonts w:ascii="黑体" w:hAnsi="黑体" w:eastAsia="黑体" w:cs="黑体"/>
          <w:b/>
          <w:i w:val="false"/>
          <w:strike w:val="false"/>
          <w:color w:val="0000FF"/>
          <w:sz w:val="27"/>
          <w:u w:val="none"/>
        </w:rPr>
        <w:t>学术活动与对外合作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本研究所定期举办多层次的学术活动，包括国际论坛、专题研讨会、前沿讲座及实务工作坊。这些活动旨在连接全球顶尖学术资源，激发跨领域的思想碰撞。我们不仅为 HKIHER 的学者提供展示最新研究成果的舞台，也通过深度研讨凝聚共识，以应对现实世界挑战。这些举措共同致力于培养跨学科人才，构建充满活力的学术生态，从而推动全球高等教育的创新发展与治理优化。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国际学术论坛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与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会议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 xml:space="preserve"> (International Academic Forum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 xml:space="preserve"> 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and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 xml:space="preserve"> 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C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o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n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f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e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r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e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n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c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e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s</w:t>
      </w: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)</w:t>
      </w:r>
    </w:p>
    <w:p>
      <w:pPr>
        <w:pBdr>
          <w:bottom/>
        </w:pBd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汇聚全球多领域的顶尖专家，展开高层次战略对话，旨在促进跨区域、跨文化的深度学术合作与思想融合。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专题研讨会 (Thematic Symposium)</w:t>
      </w:r>
    </w:p>
    <w:p>
      <w:pPr>
        <w:pBdr>
          <w:bottom/>
        </w:pBd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聚焦特定前沿议题或关键挑战，进行深入、精准的探讨，旨在形成兼具理论深度与实践指导价值的共识或专题报告。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前沿学科讲座 (Frontier Lecture Series)</w:t>
      </w:r>
    </w:p>
    <w:p>
      <w:pPr>
        <w:pBdr>
          <w:bottom/>
        </w:pBd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邀请各领域的杰出学者，分享其在单一学科或交叉学科中的突破性理论与发现，以拓展研究人员的学术视野与知识边界。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实务工作坊 (Practical Workshop)</w:t>
      </w:r>
    </w:p>
    <w:p>
      <w:pPr>
        <w:pBdr/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  <w:r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  <w:t>采用案例分析、互动协作与项目模拟等实践形式，致力于提升参与者将前沿理论转化为创新性解决方案的实战能力。 </w:t>
      </w:r>
    </w:p>
    <w:p>
      <w:pPr>
        <w:snapToGrid/>
        <w:spacing w:before="0" w:after="0" w:line="240"/>
        <w:ind w:left="0" w:right="0"/>
        <w:jc w:val="both"/>
        <w:rPr>
          <w:rFonts w:ascii="黑体" w:hAnsi="黑体" w:eastAsia="黑体" w:cs="黑体"/>
          <w:i w:val="false"/>
          <w:strike w:val="false"/>
          <w:color w:val="000000"/>
          <w:sz w:val="25"/>
          <w:u w:val="none"/>
        </w:rPr>
      </w:pPr>
    </w:p>
    <w:p>
      <w:pPr>
        <w:snapToGrid/>
        <w:spacing w:before="0" w:after="0" w:line="240"/>
        <w:ind w:left="0" w:right="0"/>
        <w:jc w:val="both"/>
        <w:rPr>
          <w:sz w:val="28"/>
        </w:rPr>
      </w:pPr>
      <w:r>
        <w:rPr>
          <w:rFonts w:ascii="黑体" w:hAnsi="黑体" w:eastAsia="黑体" w:cs="黑体"/>
          <w:b/>
          <w:i w:val="false"/>
          <w:strike w:val="false"/>
          <w:color w:val="0000FF"/>
          <w:sz w:val="27"/>
          <w:u w:val="none"/>
        </w:rPr>
        <w:t>发展愿景</w:t>
      </w:r>
    </w:p>
    <w:p>
      <w:pPr>
        <w:pBdr>
          <w:bottom/>
        </w:pBdr>
        <w:snapToGrid/>
        <w:spacing w:line="240"/>
        <w:rPr>
          <w:sz w:val="26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香港高等教育研究所始终以「融合科学」为基石，驱动新知识、新方法与新技术的深度耦合，致力于将前沿的学术理论创新，转化为应对全球挑战的实践方案。我们的目标是成为一个连接科学、治理与可持续发展的全球顶尖学术智库。我们诚挚地邀请全球学者、机构及业界领袖加入HKIHER的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全球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学术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网络，携手为人类面临的共同挑战开创新的道路，贡献卓越智慧。</w:t>
      </w:r>
    </w:p>
    <w:p>
      <w:pPr>
        <w:pStyle w:val="ablt93"/>
        <w:pBdr/>
        <w:rPr/>
      </w:pPr>
    </w:p>
    <w:p>
      <w:pPr>
        <w:pBdr>
          <w:bottom/>
        </w:pBdr>
        <w:snapToGrid/>
        <w:spacing w:line="240"/>
        <w:rPr/>
      </w:pPr>
      <w:r>
        <w:rPr>
          <w:rFonts w:ascii="黑体" w:hAnsi="黑体" w:eastAsia="黑体" w:cs="黑体"/>
          <w:b/>
          <w:i w:val="false"/>
          <w:strike w:val="false"/>
          <w:color w:val="0000FF"/>
          <w:spacing w:val="0"/>
          <w:sz w:val="27"/>
          <w:u w:val="none"/>
        </w:rPr>
        <w:t>我們的口號slogan：</w:t>
      </w:r>
    </w:p>
    <w:p>
      <w:pPr>
        <w:numPr>
          <w:ilvl w:val="0"/>
          <w:numId w:val="1"/>
        </w:numPr>
        <w:pBdr/>
        <w:snapToGrid/>
        <w:spacing w:line="240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融通學科界限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·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啟迪未來新知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 xml:space="preserve"> 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Transcending Disciplines, Illuminating New Frontiers.</w:t>
      </w:r>
    </w:p>
    <w:p>
      <w:pPr>
        <w:numPr>
          <w:ilvl w:val="0"/>
          <w:numId w:val="1"/>
        </w:numPr>
        <w:pBdr/>
        <w:snapToGrid/>
        <w:spacing w:line="240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融合智慧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·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洞見未來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 xml:space="preserve"> 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 xml:space="preserve"> 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Fusing Knowledge, Shaping Tomorrow.</w:t>
      </w:r>
    </w:p>
    <w:p>
      <w:pPr>
        <w:numPr>
          <w:ilvl w:val="0"/>
          <w:numId w:val="1"/>
        </w:numPr>
        <w:pBdr>
          <w:bottom/>
        </w:pBdr>
        <w:snapToGrid/>
        <w:spacing w:line="240"/>
        <w:rPr/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思想無疆·智引變革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 xml:space="preserve"> 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 xml:space="preserve"> 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Borderless Minds,Boundless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 xml:space="preserve"> 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Impact: Steering Evolution through Critical Thought​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.</w:t>
      </w:r>
    </w:p>
    <w:p>
      <w:pPr>
        <w:numPr>
          <w:ilvl w:val="0"/>
          <w:numId w:val="1"/>
        </w:numPr>
        <w:pBdr/>
        <w:snapToGrid/>
        <w:spacing w:line="240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破認知之壁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·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立時代之潮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 xml:space="preserve"> Shattering Intellectual Barriers, Surfacing New Waves of Discovery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.</w:t>
      </w:r>
    </w:p>
    <w:p>
      <w:pPr>
        <w:numPr>
          <w:ilvl w:val="0"/>
          <w:numId w:val="1"/>
        </w:numPr>
        <w:pBdr>
          <w:bottom/>
        </w:pBdr>
        <w:snapToGrid/>
        <w:spacing w:line="240"/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</w:pP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以人文之光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·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點亮時代之心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 xml:space="preserve"> 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With the Light of Humanity, We Enlighten the Heart of Our Time</w:t>
      </w:r>
      <w:r>
        <w:rPr>
          <w:rFonts w:ascii="黑体" w:hAnsi="黑体" w:eastAsia="黑体" w:cs="黑体"/>
          <w:b w:val="false"/>
          <w:i w:val="false"/>
          <w:strike w:val="false"/>
          <w:color w:val="000000"/>
          <w:spacing w:val="0"/>
          <w:sz w:val="25"/>
          <w:u w:val="none"/>
        </w:rPr>
        <w:t>.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 xmlns:mc="http://schemas.openxmlformats.org/markup-compatibility/2006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2025-08-10T17:33:30Z</dcterms:created>
  <dcterms:modified xsi:type="dcterms:W3CDTF">2025-08-10T17:33:30Z</dcterms:modified>
</cp:coreProperties>
</file>