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color w:val="000000"/>
          <w:sz w:val="52"/>
        </w:rPr>
        <w:t>Why AI Responses Need Structure, Not Just Markdown</w:t>
      </w:r>
    </w:p>
    <w:p>
      <w:pPr>
        <w:pStyle w:val="Heading1"/>
      </w:pPr>
      <w:r>
        <w:rPr>
          <w:rFonts w:ascii="Arial" w:hAnsi="Arial"/>
          <w:color w:val="000000"/>
          <w:sz w:val="40"/>
        </w:rPr>
        <w:t>Conversation is only one part of a useful enterprise response</w:t>
      </w:r>
    </w:p>
    <w:p>
      <w:r>
        <w:rPr>
          <w:rFonts w:ascii="Arial" w:hAnsi="Arial"/>
          <w:color w:val="000000"/>
          <w:sz w:val="22"/>
        </w:rPr>
        <w:t>Markdown is a convenient way for an AI model to produce headings, lists, emphasis, and links. It is not a complete contract between an AI system and an enterprise application.</w:t>
      </w:r>
    </w:p>
    <w:p>
      <w:r>
        <w:rPr>
          <w:rFonts w:ascii="Arial" w:hAnsi="Arial"/>
          <w:color w:val="000000"/>
          <w:sz w:val="22"/>
        </w:rPr>
        <w:t>When everything arrives as one block of formatted text, the application must guess which part is the summary, which link is safe to open, which action is recommended, and which document was actually created. Sometimes the Markdown is not rendered at all, leaving users staring at `##` headings and raw link syntax.</w:t>
      </w:r>
    </w:p>
    <w:p>
      <w:r>
        <w:rPr>
          <w:rFonts w:ascii="Arial" w:hAnsi="Arial"/>
          <w:color w:val="000000"/>
          <w:sz w:val="22"/>
        </w:rPr>
        <w:t>The deeper problem is not cosmetic. Important response elements have been mixed together without structure.</w:t>
      </w:r>
    </w:p>
    <w:p>
      <w:pPr>
        <w:pStyle w:val="Heading1"/>
      </w:pPr>
      <w:r>
        <w:rPr>
          <w:rFonts w:ascii="Arial" w:hAnsi="Arial"/>
          <w:color w:val="000000"/>
          <w:sz w:val="40"/>
        </w:rPr>
        <w:t>Separate the conversation from the interface</w:t>
      </w:r>
    </w:p>
    <w:p>
      <w:r>
        <w:rPr>
          <w:rFonts w:ascii="Arial" w:hAnsi="Arial"/>
          <w:color w:val="000000"/>
          <w:sz w:val="22"/>
        </w:rPr>
        <w:t>A well-designed assistant can remain conversational while returning a small structured envelope around its answer. That envelope might contain:</w:t>
      </w:r>
    </w:p>
    <w:p>
      <w:pPr>
        <w:pStyle w:val="ListBullet"/>
      </w:pPr>
      <w:r>
        <w:rPr>
          <w:rFonts w:ascii="Arial" w:hAnsi="Arial"/>
          <w:color w:val="000000"/>
          <w:sz w:val="22"/>
        </w:rPr>
        <w:t>The conversational message</w:t>
      </w:r>
    </w:p>
    <w:p>
      <w:pPr>
        <w:pStyle w:val="ListBullet"/>
      </w:pPr>
      <w:r>
        <w:rPr>
          <w:rFonts w:ascii="Arial" w:hAnsi="Arial"/>
          <w:color w:val="000000"/>
          <w:sz w:val="22"/>
        </w:rPr>
        <w:t>A quick summary</w:t>
      </w:r>
    </w:p>
    <w:p>
      <w:pPr>
        <w:pStyle w:val="ListBullet"/>
      </w:pPr>
      <w:r>
        <w:rPr>
          <w:rFonts w:ascii="Arial" w:hAnsi="Arial"/>
          <w:color w:val="000000"/>
          <w:sz w:val="22"/>
        </w:rPr>
        <w:t>Requirements or missing information</w:t>
      </w:r>
    </w:p>
    <w:p>
      <w:pPr>
        <w:pStyle w:val="ListBullet"/>
      </w:pPr>
      <w:r>
        <w:rPr>
          <w:rFonts w:ascii="Arial" w:hAnsi="Arial"/>
          <w:color w:val="000000"/>
          <w:sz w:val="22"/>
        </w:rPr>
        <w:t>Recommended next steps</w:t>
      </w:r>
    </w:p>
    <w:p>
      <w:pPr>
        <w:pStyle w:val="ListBullet"/>
      </w:pPr>
      <w:r>
        <w:rPr>
          <w:rFonts w:ascii="Arial" w:hAnsi="Arial"/>
          <w:color w:val="000000"/>
          <w:sz w:val="22"/>
        </w:rPr>
        <w:t>Suggested follow-up prompts</w:t>
      </w:r>
    </w:p>
    <w:p>
      <w:pPr>
        <w:pStyle w:val="ListBullet"/>
      </w:pPr>
      <w:r>
        <w:rPr>
          <w:rFonts w:ascii="Arial" w:hAnsi="Arial"/>
          <w:color w:val="000000"/>
          <w:sz w:val="22"/>
        </w:rPr>
        <w:t>Citations</w:t>
      </w:r>
    </w:p>
    <w:p>
      <w:pPr>
        <w:pStyle w:val="ListBullet"/>
      </w:pPr>
      <w:r>
        <w:rPr>
          <w:rFonts w:ascii="Arial" w:hAnsi="Arial"/>
          <w:color w:val="000000"/>
          <w:sz w:val="22"/>
        </w:rPr>
        <w:t>Documents or records created</w:t>
      </w:r>
    </w:p>
    <w:p>
      <w:pPr>
        <w:pStyle w:val="ListBullet"/>
      </w:pPr>
      <w:r>
        <w:rPr>
          <w:rFonts w:ascii="Arial" w:hAnsi="Arial"/>
          <w:color w:val="000000"/>
          <w:sz w:val="22"/>
        </w:rPr>
        <w:t>Trusted navigation destinations</w:t>
      </w:r>
    </w:p>
    <w:p>
      <w:r>
        <w:rPr>
          <w:rFonts w:ascii="Arial" w:hAnsi="Arial"/>
          <w:color w:val="000000"/>
          <w:sz w:val="22"/>
        </w:rPr>
        <w:t>The user still reads natural language. The application, however, no longer has to scrape meaning out of prose.</w:t>
      </w:r>
    </w:p>
    <w:p>
      <w:pPr>
        <w:pStyle w:val="Heading1"/>
      </w:pPr>
      <w:r>
        <w:rPr>
          <w:rFonts w:ascii="Arial" w:hAnsi="Arial"/>
          <w:color w:val="000000"/>
          <w:sz w:val="40"/>
        </w:rPr>
        <w:t>Links are not all the same</w:t>
      </w:r>
    </w:p>
    <w:p>
      <w:r>
        <w:rPr>
          <w:rFonts w:ascii="Arial" w:hAnsi="Arial"/>
          <w:color w:val="000000"/>
          <w:sz w:val="22"/>
        </w:rPr>
        <w:t>Consider three links in an AI response:</w:t>
      </w:r>
    </w:p>
    <w:p>
      <w:pPr>
        <w:pStyle w:val="ListNumber"/>
      </w:pPr>
      <w:r>
        <w:rPr>
          <w:rFonts w:ascii="Arial" w:hAnsi="Arial"/>
          <w:color w:val="000000"/>
          <w:sz w:val="22"/>
        </w:rPr>
        <w:t>A citation to an external regulatory source</w:t>
      </w:r>
    </w:p>
    <w:p>
      <w:pPr>
        <w:pStyle w:val="ListNumber"/>
      </w:pPr>
      <w:r>
        <w:rPr>
          <w:rFonts w:ascii="Arial" w:hAnsi="Arial"/>
          <w:color w:val="000000"/>
          <w:sz w:val="22"/>
        </w:rPr>
        <w:t>A link to an internal project page</w:t>
      </w:r>
    </w:p>
    <w:p>
      <w:pPr>
        <w:pStyle w:val="ListNumber"/>
      </w:pPr>
      <w:r>
        <w:rPr>
          <w:rFonts w:ascii="Arial" w:hAnsi="Arial"/>
          <w:color w:val="000000"/>
          <w:sz w:val="22"/>
        </w:rPr>
        <w:t>A link supplied by untrusted retrieved content</w:t>
      </w:r>
    </w:p>
    <w:p>
      <w:r>
        <w:rPr>
          <w:rFonts w:ascii="Arial" w:hAnsi="Arial"/>
          <w:color w:val="000000"/>
          <w:sz w:val="22"/>
        </w:rPr>
        <w:t>They should not necessarily receive identical treatment.</w:t>
      </w:r>
    </w:p>
    <w:p>
      <w:r>
        <w:rPr>
          <w:rFonts w:ascii="Arial" w:hAnsi="Arial"/>
          <w:color w:val="000000"/>
          <w:sz w:val="22"/>
        </w:rPr>
        <w:t>An internal navigation action can be validated against an allow-list of application routes. A citation should preserve its title and source. An untrusted external URL may require additional safety checks or a clear external-link treatment.</w:t>
      </w:r>
    </w:p>
    <w:p>
      <w:r>
        <w:rPr>
          <w:rFonts w:ascii="Arial" w:hAnsi="Arial"/>
          <w:color w:val="000000"/>
          <w:sz w:val="22"/>
        </w:rPr>
        <w:t>When a model embeds all three in ordinary prose, the application loses the opportunity to make these distinctions reliably.</w:t>
      </w:r>
    </w:p>
    <w:p>
      <w:pPr>
        <w:pStyle w:val="Heading1"/>
      </w:pPr>
      <w:r>
        <w:rPr>
          <w:rFonts w:ascii="Arial" w:hAnsi="Arial"/>
          <w:color w:val="000000"/>
          <w:sz w:val="40"/>
        </w:rPr>
        <w:t>Artifacts deserve their own identity</w:t>
      </w:r>
    </w:p>
    <w:p>
      <w:r>
        <w:rPr>
          <w:rFonts w:ascii="Arial" w:hAnsi="Arial"/>
          <w:color w:val="000000"/>
          <w:sz w:val="22"/>
        </w:rPr>
        <w:t>Documents, assessments, plans, citations, and created records often outlive the chat message that introduced them. They should be represented as artifacts rather than buried links.</w:t>
      </w:r>
    </w:p>
    <w:p>
      <w:r>
        <w:rPr>
          <w:rFonts w:ascii="Arial" w:hAnsi="Arial"/>
          <w:color w:val="000000"/>
          <w:sz w:val="22"/>
        </w:rPr>
        <w:t>An artifact record can include:</w:t>
      </w:r>
    </w:p>
    <w:p>
      <w:pPr>
        <w:pStyle w:val="ListBullet"/>
      </w:pPr>
      <w:r>
        <w:rPr>
          <w:rFonts w:ascii="Arial" w:hAnsi="Arial"/>
          <w:color w:val="000000"/>
          <w:sz w:val="22"/>
        </w:rPr>
        <w:t>Type and title</w:t>
      </w:r>
    </w:p>
    <w:p>
      <w:pPr>
        <w:pStyle w:val="ListBullet"/>
      </w:pPr>
      <w:r>
        <w:rPr>
          <w:rFonts w:ascii="Arial" w:hAnsi="Arial"/>
          <w:color w:val="000000"/>
          <w:sz w:val="22"/>
        </w:rPr>
        <w:t>Source or creator</w:t>
      </w:r>
    </w:p>
    <w:p>
      <w:pPr>
        <w:pStyle w:val="ListBullet"/>
      </w:pPr>
      <w:r>
        <w:rPr>
          <w:rFonts w:ascii="Arial" w:hAnsi="Arial"/>
          <w:color w:val="000000"/>
          <w:sz w:val="22"/>
        </w:rPr>
        <w:t>Creation time</w:t>
      </w:r>
    </w:p>
    <w:p>
      <w:pPr>
        <w:pStyle w:val="ListBullet"/>
      </w:pPr>
      <w:r>
        <w:rPr>
          <w:rFonts w:ascii="Arial" w:hAnsi="Arial"/>
          <w:color w:val="000000"/>
          <w:sz w:val="22"/>
        </w:rPr>
        <w:t>Project and conversation scope</w:t>
      </w:r>
    </w:p>
    <w:p>
      <w:pPr>
        <w:pStyle w:val="ListBullet"/>
      </w:pPr>
      <w:r>
        <w:rPr>
          <w:rFonts w:ascii="Arial" w:hAnsi="Arial"/>
          <w:color w:val="000000"/>
          <w:sz w:val="22"/>
        </w:rPr>
        <w:t>Access permissions</w:t>
      </w:r>
    </w:p>
    <w:p>
      <w:pPr>
        <w:pStyle w:val="ListBullet"/>
      </w:pPr>
      <w:r>
        <w:rPr>
          <w:rFonts w:ascii="Arial" w:hAnsi="Arial"/>
          <w:color w:val="000000"/>
          <w:sz w:val="22"/>
        </w:rPr>
        <w:t>Model provenance</w:t>
      </w:r>
    </w:p>
    <w:p>
      <w:pPr>
        <w:pStyle w:val="ListBullet"/>
      </w:pPr>
      <w:r>
        <w:rPr>
          <w:rFonts w:ascii="Arial" w:hAnsi="Arial"/>
          <w:color w:val="000000"/>
          <w:sz w:val="22"/>
        </w:rPr>
        <w:t>Stable destination</w:t>
      </w:r>
    </w:p>
    <w:p>
      <w:r>
        <w:rPr>
          <w:rFonts w:ascii="Arial" w:hAnsi="Arial"/>
          <w:color w:val="000000"/>
          <w:sz w:val="22"/>
        </w:rPr>
        <w:t>This makes it possible to provide an Artifacts panel containing the durable outputs of a conversation without pretending that every navigation link is an artifact.</w:t>
      </w:r>
    </w:p>
    <w:p>
      <w:pPr>
        <w:pStyle w:val="Heading1"/>
      </w:pPr>
      <w:r>
        <w:rPr>
          <w:rFonts w:ascii="Arial" w:hAnsi="Arial"/>
          <w:color w:val="000000"/>
          <w:sz w:val="40"/>
        </w:rPr>
        <w:t>Structure should fail gracefully</w:t>
      </w:r>
    </w:p>
    <w:p>
      <w:r>
        <w:rPr>
          <w:rFonts w:ascii="Arial" w:hAnsi="Arial"/>
          <w:color w:val="000000"/>
          <w:sz w:val="22"/>
        </w:rPr>
        <w:t>Schema-constrained generation is not infallible. A model may omit a field, produce invalid JSON, or return content that cannot be validated.</w:t>
      </w:r>
    </w:p>
    <w:p>
      <w:r>
        <w:rPr>
          <w:rFonts w:ascii="Arial" w:hAnsi="Arial"/>
          <w:color w:val="000000"/>
          <w:sz w:val="22"/>
        </w:rPr>
        <w:t>The correct response is not to discard the entire answer. A robust design should:</w:t>
      </w:r>
    </w:p>
    <w:p>
      <w:pPr>
        <w:pStyle w:val="ListNumber"/>
      </w:pPr>
      <w:r>
        <w:rPr>
          <w:rFonts w:ascii="Arial" w:hAnsi="Arial"/>
          <w:color w:val="000000"/>
          <w:sz w:val="22"/>
        </w:rPr>
        <w:t>Validate the structured response</w:t>
      </w:r>
    </w:p>
    <w:p>
      <w:pPr>
        <w:pStyle w:val="ListNumber"/>
      </w:pPr>
      <w:r>
        <w:rPr>
          <w:rFonts w:ascii="Arial" w:hAnsi="Arial"/>
          <w:color w:val="000000"/>
          <w:sz w:val="22"/>
        </w:rPr>
        <w:t>Repair only when safe and bounded</w:t>
      </w:r>
    </w:p>
    <w:p>
      <w:pPr>
        <w:pStyle w:val="ListNumber"/>
      </w:pPr>
      <w:r>
        <w:rPr>
          <w:rFonts w:ascii="Arial" w:hAnsi="Arial"/>
          <w:color w:val="000000"/>
          <w:sz w:val="22"/>
        </w:rPr>
        <w:t>Fall back to the conversational message</w:t>
      </w:r>
    </w:p>
    <w:p>
      <w:pPr>
        <w:pStyle w:val="ListNumber"/>
      </w:pPr>
      <w:r>
        <w:rPr>
          <w:rFonts w:ascii="Arial" w:hAnsi="Arial"/>
          <w:color w:val="000000"/>
          <w:sz w:val="22"/>
        </w:rPr>
        <w:t>Avoid presenting unvalidated actions as trusted controls</w:t>
      </w:r>
    </w:p>
    <w:p>
      <w:pPr>
        <w:pStyle w:val="ListNumber"/>
      </w:pPr>
      <w:r>
        <w:rPr>
          <w:rFonts w:ascii="Arial" w:hAnsi="Arial"/>
          <w:color w:val="000000"/>
          <w:sz w:val="22"/>
        </w:rPr>
        <w:t>Record enough diagnostic information to investigate recurring failures</w:t>
      </w:r>
    </w:p>
    <w:p>
      <w:r>
        <w:rPr>
          <w:rFonts w:ascii="Arial" w:hAnsi="Arial"/>
          <w:color w:val="000000"/>
          <w:sz w:val="22"/>
        </w:rPr>
        <w:t>This is why “structured output” is a distinct model capability and operational role, not merely a different visual style.</w:t>
      </w:r>
    </w:p>
    <w:p>
      <w:pPr>
        <w:pStyle w:val="Heading1"/>
      </w:pPr>
      <w:r>
        <w:rPr>
          <w:rFonts w:ascii="Arial" w:hAnsi="Arial"/>
          <w:color w:val="000000"/>
          <w:sz w:val="40"/>
        </w:rPr>
        <w:t>Do not let the schema become the conversation</w:t>
      </w:r>
    </w:p>
    <w:p>
      <w:r>
        <w:rPr>
          <w:rFonts w:ascii="Arial" w:hAnsi="Arial"/>
          <w:color w:val="000000"/>
          <w:sz w:val="22"/>
        </w:rPr>
        <w:t>There is an opposite failure mode: forcing every answer into a rigid form until the assistant feels like a questionnaire.</w:t>
      </w:r>
    </w:p>
    <w:p>
      <w:r>
        <w:rPr>
          <w:rFonts w:ascii="Arial" w:hAnsi="Arial"/>
          <w:color w:val="000000"/>
          <w:sz w:val="22"/>
        </w:rPr>
        <w:t>Structure should support the interaction, not dominate it. Most fields should be optional. A simple explanatory response may need only the message and citations. A planning response may add requirements and next steps. A document-generation response may return a created artifact.</w:t>
      </w:r>
    </w:p>
    <w:p>
      <w:r>
        <w:rPr>
          <w:rFonts w:ascii="Arial" w:hAnsi="Arial"/>
          <w:color w:val="000000"/>
          <w:sz w:val="22"/>
        </w:rPr>
        <w:t>The schema should describe useful interface elements while leaving the model room to communicate naturally.</w:t>
      </w:r>
    </w:p>
    <w:p>
      <w:pPr>
        <w:pStyle w:val="Heading1"/>
      </w:pPr>
      <w:r>
        <w:rPr>
          <w:rFonts w:ascii="Arial" w:hAnsi="Arial"/>
          <w:color w:val="000000"/>
          <w:sz w:val="40"/>
        </w:rPr>
        <w:t>Better rendering supports better governance</w:t>
      </w:r>
    </w:p>
    <w:p>
      <w:r>
        <w:rPr>
          <w:rFonts w:ascii="Arial" w:hAnsi="Arial"/>
          <w:color w:val="000000"/>
          <w:sz w:val="22"/>
        </w:rPr>
        <w:t>Structured responses improve more than appearance. They enable:</w:t>
      </w:r>
    </w:p>
    <w:p>
      <w:pPr>
        <w:pStyle w:val="ListBullet"/>
      </w:pPr>
      <w:r>
        <w:rPr>
          <w:rFonts w:ascii="Arial" w:hAnsi="Arial"/>
          <w:color w:val="000000"/>
          <w:sz w:val="22"/>
        </w:rPr>
        <w:t>Clear provenance for citations and artifacts</w:t>
      </w:r>
    </w:p>
    <w:p>
      <w:pPr>
        <w:pStyle w:val="ListBullet"/>
      </w:pPr>
      <w:r>
        <w:rPr>
          <w:rFonts w:ascii="Arial" w:hAnsi="Arial"/>
          <w:color w:val="000000"/>
          <w:sz w:val="22"/>
        </w:rPr>
        <w:t>Permission checks before displaying private records</w:t>
      </w:r>
    </w:p>
    <w:p>
      <w:pPr>
        <w:pStyle w:val="ListBullet"/>
      </w:pPr>
      <w:r>
        <w:rPr>
          <w:rFonts w:ascii="Arial" w:hAnsi="Arial"/>
          <w:color w:val="000000"/>
          <w:sz w:val="22"/>
        </w:rPr>
        <w:t>Safe validation of navigation actions</w:t>
      </w:r>
    </w:p>
    <w:p>
      <w:pPr>
        <w:pStyle w:val="ListBullet"/>
      </w:pPr>
      <w:r>
        <w:rPr>
          <w:rFonts w:ascii="Arial" w:hAnsi="Arial"/>
          <w:color w:val="000000"/>
          <w:sz w:val="22"/>
        </w:rPr>
        <w:t>Accessible rendering of summaries and action lists</w:t>
      </w:r>
    </w:p>
    <w:p>
      <w:pPr>
        <w:pStyle w:val="ListBullet"/>
      </w:pPr>
      <w:r>
        <w:rPr>
          <w:rFonts w:ascii="Arial" w:hAnsi="Arial"/>
          <w:color w:val="000000"/>
          <w:sz w:val="22"/>
        </w:rPr>
        <w:t>Analytics that distinguish advice from created outputs</w:t>
      </w:r>
    </w:p>
    <w:p>
      <w:pPr>
        <w:pStyle w:val="ListBullet"/>
      </w:pPr>
      <w:r>
        <w:rPr>
          <w:rFonts w:ascii="Arial" w:hAnsi="Arial"/>
          <w:color w:val="000000"/>
          <w:sz w:val="22"/>
        </w:rPr>
        <w:t>More reliable testing of the user experience</w:t>
      </w:r>
    </w:p>
    <w:p>
      <w:r>
        <w:rPr>
          <w:rFonts w:ascii="Arial" w:hAnsi="Arial"/>
          <w:color w:val="000000"/>
          <w:sz w:val="22"/>
        </w:rPr>
        <w:t xml:space="preserve">NIST’s AI Risk Management Framework emphasises documentation, defined roles, testing, evaluation, verification, and validation as parts of operational AI risk management. </w:t>
      </w:r>
      <w:hyperlink r:id="rId9">
        <w:r>
          <w:rPr>
            <w:rFonts w:ascii="Arial" w:hAnsi="Arial"/>
            <w:color w:val="1155CC"/>
            <w:u w:val="single"/>
          </w:rPr>
          <w:t>NIST AI Resource Center</w:t>
        </w:r>
      </w:hyperlink>
    </w:p>
    <w:p>
      <w:r>
        <w:rPr>
          <w:rFonts w:ascii="Arial" w:hAnsi="Arial"/>
          <w:color w:val="000000"/>
          <w:sz w:val="22"/>
        </w:rPr>
        <w:t>An AI response is not merely text generated by a model. It is a product interaction containing claims, sources, actions, and sometimes durable work.</w:t>
      </w:r>
    </w:p>
    <w:p>
      <w:r>
        <w:rPr>
          <w:rFonts w:ascii="Arial" w:hAnsi="Arial"/>
          <w:color w:val="000000"/>
          <w:sz w:val="22"/>
        </w:rPr>
        <w:t>Markdown can format the words. Structure helps the application understand what those words are meant to do.</w:t>
      </w:r>
    </w:p>
    <w:p>
      <w:r>
        <w:rPr>
          <w:rFonts w:ascii="Arial" w:hAnsi="Arial"/>
          <w:i/>
          <w:color w:val="000000"/>
          <w:sz w:val="22"/>
        </w:rPr>
        <w:t>Suggested Substack note:</w:t>
      </w:r>
      <w:r>
        <w:rPr>
          <w:rFonts w:ascii="Arial" w:hAnsi="Arial"/>
          <w:color w:val="000000"/>
          <w:sz w:val="22"/>
        </w:rPr>
        <w:t xml:space="preserve"> The problem with raw AI Markdown is not just that headings sometimes display badly. It mixes conversation, citations, actions, and artifacts into one ungoverned block of text.</w:t>
      </w:r>
    </w:p>
    <w:p>
      <w:r>
        <w:rPr>
          <w:rFonts w:ascii="Arial" w:hAnsi="Arial"/>
          <w:i/>
          <w:color w:val="555555"/>
          <w:sz w:val="22"/>
        </w:rPr>
        <w:t>This article provides general information and does not constitute security or compliance advice.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irc.nist.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Architecture Governance in Southeast Asia</dc:title>
  <dc:subject>Substack-ready article</dc:subject>
  <dc:creator/>
  <cp:keywords>architecture governance, Southeast Asia, TOGAF, COBIT, AI governance</cp:keywords>
  <dc:description>generated by python-docx</dc:description>
  <cp:lastModifiedBy/>
  <cp:revision>1</cp:revision>
  <dcterms:created xsi:type="dcterms:W3CDTF">2013-12-23T23:15:00Z</dcterms:created>
  <dcterms:modified xsi:type="dcterms:W3CDTF">2013-12-23T23:15:00Z</dcterms:modified>
  <cp:category/>
</cp:coreProperties>
</file>