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60"/>
      </w:pPr>
      <w:r>
        <w:rPr>
          <w:rFonts w:ascii="Arial" w:hAnsi="Arial"/>
          <w:b w:val="0"/>
          <w:color w:val="000000"/>
          <w:sz w:val="52"/>
        </w:rPr>
        <w:t>A Private AI Journal Should Belong to the Individual</w:t>
      </w:r>
    </w:p>
    <w:p>
      <w:pPr>
        <w:pStyle w:val="Heading1"/>
      </w:pPr>
      <w:r>
        <w:rPr>
          <w:rFonts w:ascii="Arial" w:hAnsi="Arial"/>
          <w:color w:val="000000"/>
          <w:sz w:val="40"/>
        </w:rPr>
        <w:t>Reflection can be valuable without becoming another form of workplace surveillance</w:t>
      </w:r>
    </w:p>
    <w:p>
      <w:r>
        <w:rPr>
          <w:rFonts w:ascii="Arial" w:hAnsi="Arial"/>
          <w:color w:val="000000"/>
          <w:sz w:val="22"/>
        </w:rPr>
        <w:t>People forget what they have done.</w:t>
      </w:r>
    </w:p>
    <w:p>
      <w:r>
        <w:rPr>
          <w:rFonts w:ascii="Arial" w:hAnsi="Arial"/>
          <w:color w:val="000000"/>
          <w:sz w:val="22"/>
        </w:rPr>
        <w:t>That is not a failure of commitment. Work is fragmented across meetings, conversations, documents, decisions, false starts, and small achievements. After a month—or six months—it can be difficult to reconstruct what changed, what was learned, and which questions remain unresolved.</w:t>
      </w:r>
    </w:p>
    <w:p>
      <w:r>
        <w:rPr>
          <w:rFonts w:ascii="Arial" w:hAnsi="Arial"/>
          <w:color w:val="000000"/>
          <w:sz w:val="22"/>
        </w:rPr>
        <w:t>An AI-generated work journal could help. It could review a person’s own activity over a chosen period and produce a private narrative of projects, decisions, lessons, open questions, and items worth revisiting.</w:t>
      </w:r>
    </w:p>
    <w:p>
      <w:r>
        <w:rPr>
          <w:rFonts w:ascii="Arial" w:hAnsi="Arial"/>
          <w:color w:val="000000"/>
          <w:sz w:val="22"/>
        </w:rPr>
        <w:t>The idea becomes much less attractive if the journal automatically belongs to the employer.</w:t>
      </w:r>
    </w:p>
    <w:p>
      <w:pPr>
        <w:pStyle w:val="Heading1"/>
      </w:pPr>
      <w:r>
        <w:rPr>
          <w:rFonts w:ascii="Arial" w:hAnsi="Arial"/>
          <w:color w:val="000000"/>
          <w:sz w:val="40"/>
        </w:rPr>
        <w:t>Reflection is different from performance monitoring</w:t>
      </w:r>
    </w:p>
    <w:p>
      <w:r>
        <w:rPr>
          <w:rFonts w:ascii="Arial" w:hAnsi="Arial"/>
          <w:color w:val="000000"/>
          <w:sz w:val="22"/>
        </w:rPr>
        <w:t>A personal work journal may contain uncertainty, unfinished thinking, frustrations, tentative goals, or lessons drawn from mistakes. Those qualities make it useful for reflection. They also make it unsuitable as an automatically shared management report.</w:t>
      </w:r>
    </w:p>
    <w:p>
      <w:r>
        <w:rPr>
          <w:rFonts w:ascii="Arial" w:hAnsi="Arial"/>
          <w:color w:val="000000"/>
          <w:sz w:val="22"/>
        </w:rPr>
        <w:t>If people expect managers, administrators, or colleagues to read the output, they will reasonably self-censor. The journal becomes another performance surface rather than an aid to memory.</w:t>
      </w:r>
    </w:p>
    <w:p>
      <w:r>
        <w:rPr>
          <w:rFonts w:ascii="Arial" w:hAnsi="Arial"/>
          <w:color w:val="000000"/>
          <w:sz w:val="22"/>
        </w:rPr>
        <w:t>The default boundary should therefore be simple:</w:t>
      </w:r>
    </w:p>
    <w:p>
      <w:r>
        <w:rPr>
          <w:rFonts w:ascii="Arial" w:hAnsi="Arial"/>
          <w:color w:val="000000"/>
          <w:sz w:val="22"/>
        </w:rPr>
        <w:t>&gt; The journal belongs to the individual. Other people, including organisational administrators, cannot access it unless the individual explicitly shares the generated document.</w:t>
      </w:r>
    </w:p>
    <w:p>
      <w:r>
        <w:rPr>
          <w:rFonts w:ascii="Arial" w:hAnsi="Arial"/>
          <w:color w:val="000000"/>
          <w:sz w:val="22"/>
        </w:rPr>
        <w:t>This principle should be enforced by system permissions, not merely promised in interface text.</w:t>
      </w:r>
    </w:p>
    <w:p>
      <w:pPr>
        <w:pStyle w:val="Heading1"/>
      </w:pPr>
      <w:r>
        <w:rPr>
          <w:rFonts w:ascii="Arial" w:hAnsi="Arial"/>
          <w:color w:val="000000"/>
          <w:sz w:val="40"/>
        </w:rPr>
        <w:t>Generate it; do not quietly turn it into memory</w:t>
      </w:r>
    </w:p>
    <w:p>
      <w:r>
        <w:rPr>
          <w:rFonts w:ascii="Arial" w:hAnsi="Arial"/>
          <w:color w:val="000000"/>
          <w:sz w:val="22"/>
        </w:rPr>
        <w:t>A journal can be produced on demand from authorised sources without becoming another permanent memory store.</w:t>
      </w:r>
    </w:p>
    <w:p>
      <w:r>
        <w:rPr>
          <w:rFonts w:ascii="Arial" w:hAnsi="Arial"/>
          <w:color w:val="000000"/>
          <w:sz w:val="22"/>
        </w:rPr>
        <w:t>The user chooses a date range and, ideally, the sources to include. The system creates a private preview or downloadable document. The generated journal is not automatically added to future AI context, organisational knowledge, or the user’s long-term profile.</w:t>
      </w:r>
    </w:p>
    <w:p>
      <w:r>
        <w:rPr>
          <w:rFonts w:ascii="Arial" w:hAnsi="Arial"/>
          <w:color w:val="000000"/>
          <w:sz w:val="22"/>
        </w:rPr>
        <w:t>That separation prevents a reflective summary from becoming a self-reinforcing description of the person. If the AI incorrectly characterises a project or infers a lesson the user does not accept, the mistake should not silently influence future assistance.</w:t>
      </w:r>
    </w:p>
    <w:p>
      <w:pPr>
        <w:pStyle w:val="Heading1"/>
      </w:pPr>
      <w:r>
        <w:rPr>
          <w:rFonts w:ascii="Arial" w:hAnsi="Arial"/>
          <w:color w:val="000000"/>
          <w:sz w:val="40"/>
        </w:rPr>
        <w:t>Provenance still matters in a personal document</w:t>
      </w:r>
    </w:p>
    <w:p>
      <w:r>
        <w:rPr>
          <w:rFonts w:ascii="Arial" w:hAnsi="Arial"/>
          <w:color w:val="000000"/>
          <w:sz w:val="22"/>
        </w:rPr>
        <w:t>A reflective narrative should distinguish between source material and AI interpretation. A useful journal could include:</w:t>
      </w:r>
    </w:p>
    <w:p>
      <w:pPr>
        <w:pStyle w:val="ListBullet"/>
      </w:pPr>
      <w:r>
        <w:rPr>
          <w:rFonts w:ascii="Arial" w:hAnsi="Arial"/>
          <w:color w:val="000000"/>
          <w:sz w:val="22"/>
        </w:rPr>
        <w:t>The selected date range</w:t>
      </w:r>
    </w:p>
    <w:p>
      <w:pPr>
        <w:pStyle w:val="ListBullet"/>
      </w:pPr>
      <w:r>
        <w:rPr>
          <w:rFonts w:ascii="Arial" w:hAnsi="Arial"/>
          <w:color w:val="000000"/>
          <w:sz w:val="22"/>
        </w:rPr>
        <w:t>Categories of source material used</w:t>
      </w:r>
    </w:p>
    <w:p>
      <w:pPr>
        <w:pStyle w:val="ListBullet"/>
      </w:pPr>
      <w:r>
        <w:rPr>
          <w:rFonts w:ascii="Arial" w:hAnsi="Arial"/>
          <w:color w:val="000000"/>
          <w:sz w:val="22"/>
        </w:rPr>
        <w:t>The AI provider and model</w:t>
      </w:r>
    </w:p>
    <w:p>
      <w:pPr>
        <w:pStyle w:val="ListBullet"/>
      </w:pPr>
      <w:r>
        <w:rPr>
          <w:rFonts w:ascii="Arial" w:hAnsi="Arial"/>
          <w:color w:val="000000"/>
          <w:sz w:val="22"/>
        </w:rPr>
        <w:t>A reminder that the narrative is AI-generated</w:t>
      </w:r>
    </w:p>
    <w:p>
      <w:pPr>
        <w:pStyle w:val="ListBullet"/>
      </w:pPr>
      <w:r>
        <w:rPr>
          <w:rFonts w:ascii="Arial" w:hAnsi="Arial"/>
          <w:color w:val="000000"/>
          <w:sz w:val="22"/>
        </w:rPr>
        <w:t>A source appendix identifying conversations or records</w:t>
      </w:r>
    </w:p>
    <w:p>
      <w:pPr>
        <w:pStyle w:val="ListBullet"/>
      </w:pPr>
      <w:r>
        <w:rPr>
          <w:rFonts w:ascii="Arial" w:hAnsi="Arial"/>
          <w:color w:val="000000"/>
          <w:sz w:val="22"/>
        </w:rPr>
        <w:t>Sections for decisions, lessons, open questions, and items to revisit</w:t>
      </w:r>
    </w:p>
    <w:p>
      <w:r>
        <w:rPr>
          <w:rFonts w:ascii="Arial" w:hAnsi="Arial"/>
          <w:color w:val="000000"/>
          <w:sz w:val="22"/>
        </w:rPr>
        <w:t>The appendix need not reproduce private transcripts. Its purpose is to help the owner understand where the narrative came from and correct it when necessary.</w:t>
      </w:r>
    </w:p>
    <w:p>
      <w:pPr>
        <w:pStyle w:val="Heading1"/>
      </w:pPr>
      <w:r>
        <w:rPr>
          <w:rFonts w:ascii="Arial" w:hAnsi="Arial"/>
          <w:color w:val="000000"/>
          <w:sz w:val="40"/>
        </w:rPr>
        <w:t>User control should be visible</w:t>
      </w:r>
    </w:p>
    <w:p>
      <w:r>
        <w:rPr>
          <w:rFonts w:ascii="Arial" w:hAnsi="Arial"/>
          <w:color w:val="000000"/>
          <w:sz w:val="22"/>
        </w:rPr>
        <w:t>Before generation, the user should understand:</w:t>
      </w:r>
    </w:p>
    <w:p>
      <w:pPr>
        <w:pStyle w:val="ListBullet"/>
      </w:pPr>
      <w:r>
        <w:rPr>
          <w:rFonts w:ascii="Arial" w:hAnsi="Arial"/>
          <w:color w:val="000000"/>
          <w:sz w:val="22"/>
        </w:rPr>
        <w:t>What sources will be included</w:t>
      </w:r>
    </w:p>
    <w:p>
      <w:pPr>
        <w:pStyle w:val="ListBullet"/>
      </w:pPr>
      <w:r>
        <w:rPr>
          <w:rFonts w:ascii="Arial" w:hAnsi="Arial"/>
          <w:color w:val="000000"/>
          <w:sz w:val="22"/>
        </w:rPr>
        <w:t>Whether source exclusions are available</w:t>
      </w:r>
    </w:p>
    <w:p>
      <w:pPr>
        <w:pStyle w:val="ListBullet"/>
      </w:pPr>
      <w:r>
        <w:rPr>
          <w:rFonts w:ascii="Arial" w:hAnsi="Arial"/>
          <w:color w:val="000000"/>
          <w:sz w:val="22"/>
        </w:rPr>
        <w:t>Whether generation uses an external AI provider</w:t>
      </w:r>
    </w:p>
    <w:p>
      <w:pPr>
        <w:pStyle w:val="ListBullet"/>
      </w:pPr>
      <w:r>
        <w:rPr>
          <w:rFonts w:ascii="Arial" w:hAnsi="Arial"/>
          <w:color w:val="000000"/>
          <w:sz w:val="22"/>
        </w:rPr>
        <w:t>Where the resulting document will be stored</w:t>
      </w:r>
    </w:p>
    <w:p>
      <w:pPr>
        <w:pStyle w:val="ListBullet"/>
      </w:pPr>
      <w:r>
        <w:rPr>
          <w:rFonts w:ascii="Arial" w:hAnsi="Arial"/>
          <w:color w:val="000000"/>
          <w:sz w:val="22"/>
        </w:rPr>
        <w:t>Whether it will be retained after download</w:t>
      </w:r>
    </w:p>
    <w:p>
      <w:pPr>
        <w:pStyle w:val="ListBullet"/>
      </w:pPr>
      <w:r>
        <w:rPr>
          <w:rFonts w:ascii="Arial" w:hAnsi="Arial"/>
          <w:color w:val="000000"/>
          <w:sz w:val="22"/>
        </w:rPr>
        <w:t>Who can access it</w:t>
      </w:r>
    </w:p>
    <w:p>
      <w:r>
        <w:rPr>
          <w:rFonts w:ascii="Arial" w:hAnsi="Arial"/>
          <w:color w:val="000000"/>
          <w:sz w:val="22"/>
        </w:rPr>
        <w:t>The journal should also work when there is little or no history. A truthful “not enough material yet” result is better than fabricated accomplishments.</w:t>
      </w:r>
    </w:p>
    <w:p>
      <w:pPr>
        <w:pStyle w:val="Heading1"/>
      </w:pPr>
      <w:r>
        <w:rPr>
          <w:rFonts w:ascii="Arial" w:hAnsi="Arial"/>
          <w:color w:val="000000"/>
          <w:sz w:val="40"/>
        </w:rPr>
        <w:t>Sharing should be an explicit second action</w:t>
      </w:r>
    </w:p>
    <w:p>
      <w:r>
        <w:rPr>
          <w:rFonts w:ascii="Arial" w:hAnsi="Arial"/>
          <w:color w:val="000000"/>
          <w:sz w:val="22"/>
        </w:rPr>
        <w:t>Some people will want to share a journal with a mentor, manager, coach, or family member. That can be supported without weakening the private default.</w:t>
      </w:r>
    </w:p>
    <w:p>
      <w:r>
        <w:rPr>
          <w:rFonts w:ascii="Arial" w:hAnsi="Arial"/>
          <w:color w:val="000000"/>
          <w:sz w:val="22"/>
        </w:rPr>
        <w:t>Sharing should require an intentional action after the user has reviewed the result. The user should choose the recipient or download the file and share it through a channel they control. Generating the journal should never imply consent to disclose it.</w:t>
      </w:r>
    </w:p>
    <w:p>
      <w:pPr>
        <w:pStyle w:val="Heading1"/>
      </w:pPr>
      <w:r>
        <w:rPr>
          <w:rFonts w:ascii="Arial" w:hAnsi="Arial"/>
          <w:color w:val="000000"/>
          <w:sz w:val="40"/>
        </w:rPr>
        <w:t>A humane use of organisational AI</w:t>
      </w:r>
    </w:p>
    <w:p>
      <w:r>
        <w:rPr>
          <w:rFonts w:ascii="Arial" w:hAnsi="Arial"/>
          <w:color w:val="000000"/>
          <w:sz w:val="22"/>
        </w:rPr>
        <w:t>Much workplace AI is discussed in terms of productivity, automation, and monitoring. A private journal points in another direction: technology that helps a person remember, make sense of experience, and recognise progress.</w:t>
      </w:r>
    </w:p>
    <w:p>
      <w:r>
        <w:rPr>
          <w:rFonts w:ascii="Arial" w:hAnsi="Arial"/>
          <w:color w:val="000000"/>
          <w:sz w:val="22"/>
        </w:rPr>
        <w:t>That value depends on trust. The system must resist the temptation to convert every private reflection into organisational data.</w:t>
      </w:r>
    </w:p>
    <w:p>
      <w:r>
        <w:rPr>
          <w:rFonts w:ascii="Arial" w:hAnsi="Arial"/>
          <w:color w:val="000000"/>
          <w:sz w:val="22"/>
        </w:rPr>
        <w:t>An evidence-led AI enterprise should preserve records where accountability requires them. It should also recognise spaces where the individual—not the institution—should remain the owner.</w:t>
      </w:r>
    </w:p>
    <w:p>
      <w:r>
        <w:rPr>
          <w:rFonts w:ascii="Arial" w:hAnsi="Arial"/>
          <w:i/>
          <w:color w:val="000000"/>
          <w:sz w:val="22"/>
        </w:rPr>
        <w:t>Suggested Substack note:</w:t>
      </w:r>
      <w:r>
        <w:rPr>
          <w:rFonts w:ascii="Arial" w:hAnsi="Arial"/>
          <w:color w:val="000000"/>
          <w:sz w:val="22"/>
        </w:rPr>
        <w:t xml:space="preserve"> An AI work journal could help us remember the last month or six months. But it should belong to the individual, not quietly become an employer-accessible performance report.</w:t>
      </w:r>
    </w:p>
    <w:p>
      <w:r>
        <w:rPr>
          <w:rFonts w:ascii="Arial" w:hAnsi="Arial"/>
          <w:i/>
          <w:color w:val="555555"/>
          <w:sz w:val="22"/>
        </w:rPr>
        <w:t>This article provides general information and does not constitute employment, privacy, or legal advice.</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720" w:hanging="360"/>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720" w:hanging="360"/>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Architecture Governance in Southeast Asia</dc:title>
  <dc:subject>Substack-ready article</dc:subject>
  <dc:creator/>
  <cp:keywords>architecture governance, Southeast Asia, TOGAF, COBIT, AI governance</cp:keywords>
  <dc:description>generated by python-docx</dc:description>
  <cp:lastModifiedBy/>
  <cp:revision>1</cp:revision>
  <dcterms:created xsi:type="dcterms:W3CDTF">2013-12-23T23:15:00Z</dcterms:created>
  <dcterms:modified xsi:type="dcterms:W3CDTF">2013-12-23T23:15:00Z</dcterms:modified>
  <cp:category/>
</cp:coreProperties>
</file>