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/>
          <w:b w:val="0"/>
          <w:color w:val="000000"/>
          <w:sz w:val="52"/>
        </w:rPr>
        <w:t>Private AI Deployment Is an Operating Model, Not a Docker File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Moving an AI application into a customer-controlled cloud changes ownership, not just hosting</w:t>
      </w:r>
    </w:p>
    <w:p>
      <w:r>
        <w:rPr>
          <w:rFonts w:ascii="Arial" w:hAnsi="Arial"/>
          <w:color w:val="000000"/>
          <w:sz w:val="22"/>
        </w:rPr>
        <w:t>“Can we deploy it privately?” sounds like an infrastructure question. The first answer is often reassuring: package the application in a container, deploy its database alongside it, configure a domain, and start the services.</w:t>
      </w:r>
    </w:p>
    <w:p>
      <w:r>
        <w:rPr>
          <w:rFonts w:ascii="Arial" w:hAnsi="Arial"/>
          <w:color w:val="000000"/>
          <w:sz w:val="22"/>
        </w:rPr>
        <w:t>That may produce a working installation. It does not yet produce a supported private service.</w:t>
      </w:r>
    </w:p>
    <w:p>
      <w:r>
        <w:rPr>
          <w:rFonts w:ascii="Arial" w:hAnsi="Arial"/>
          <w:color w:val="000000"/>
          <w:sz w:val="22"/>
        </w:rPr>
        <w:t>Private deployment changes who is responsible for security, upgrades, backups, recovery, monitoring, identity, data location, and external AI connections. It is an operating model—not merely a different destination for the same application build.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There are several meanings of private</w:t>
      </w:r>
    </w:p>
    <w:p>
      <w:r>
        <w:rPr>
          <w:rFonts w:ascii="Arial" w:hAnsi="Arial"/>
          <w:color w:val="000000"/>
          <w:sz w:val="22"/>
        </w:rPr>
        <w:t>Organisations may use “private AI” to describe very different arrangements: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The application runs in the vendor’s cloud but uses isolated customer data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The application runs in the customer’s Azure or AWS account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The full application and data platform run on customer-controlled infrastructure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The system operates in an isolated network with restricted internet access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The AI model itself also runs locally</w:t>
      </w:r>
    </w:p>
    <w:p>
      <w:r>
        <w:rPr>
          <w:rFonts w:ascii="Arial" w:hAnsi="Arial"/>
          <w:color w:val="000000"/>
          <w:sz w:val="22"/>
        </w:rPr>
        <w:t>These options provide different boundaries. Hosting an application inside a private cloud does not make it fully private if prompts and documents are still sent to an external model provider.</w:t>
      </w:r>
    </w:p>
    <w:p>
      <w:r>
        <w:rPr>
          <w:rFonts w:ascii="Arial" w:hAnsi="Arial"/>
          <w:color w:val="000000"/>
          <w:sz w:val="22"/>
        </w:rPr>
        <w:t>The deployment description should identify every material processing location: application, database, file storage, identity, logs, backups, email, analytics, and AI inference.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“Deployed together” should not mean one container</w:t>
      </w:r>
    </w:p>
    <w:p>
      <w:r>
        <w:rPr>
          <w:rFonts w:ascii="Arial" w:hAnsi="Arial"/>
          <w:color w:val="000000"/>
          <w:sz w:val="22"/>
        </w:rPr>
        <w:t>A modern application may rely on a web service, database, authentication, object storage, queues, monitoring, and supporting APIs. These can be packaged as one deployable stack while remaining separate services.</w:t>
      </w:r>
    </w:p>
    <w:p>
      <w:r>
        <w:rPr>
          <w:rFonts w:ascii="Arial" w:hAnsi="Arial"/>
          <w:color w:val="000000"/>
          <w:sz w:val="22"/>
        </w:rPr>
        <w:t>That separation supports durable storage, independent upgrades, health checks, scaling, and recovery. A database should not disappear when an application container is replaced.</w:t>
      </w:r>
    </w:p>
    <w:p>
      <w:r>
        <w:rPr>
          <w:rFonts w:ascii="Arial" w:hAnsi="Arial"/>
          <w:color w:val="000000"/>
          <w:sz w:val="22"/>
        </w:rPr>
        <w:t xml:space="preserve">Self-hosted platforms such as Supabase illustrate the distinction. Supabase documents a multi-service Docker deployment and makes clear that operators assume responsibility for provisioning, maintenance, security, PostgreSQL operations, backups, disaster recovery, monitoring, availability, and scaling. </w:t>
      </w:r>
      <w:hyperlink r:id="rId9">
        <w:r>
          <w:rPr>
            <w:rFonts w:ascii="Arial" w:hAnsi="Arial"/>
            <w:color w:val="1155CC"/>
            <w:u w:val="single"/>
          </w:rPr>
          <w:t>Supabase self-hosting overview</w:t>
        </w:r>
      </w:hyperlink>
    </w:p>
    <w:p>
      <w:pPr>
        <w:pStyle w:val="Heading1"/>
      </w:pPr>
      <w:r>
        <w:rPr>
          <w:rFonts w:ascii="Arial" w:hAnsi="Arial"/>
          <w:color w:val="000000"/>
          <w:sz w:val="40"/>
        </w:rPr>
        <w:t>Managed features become operational duties</w:t>
      </w:r>
    </w:p>
    <w:p>
      <w:r>
        <w:rPr>
          <w:rFonts w:ascii="Arial" w:hAnsi="Arial"/>
          <w:color w:val="000000"/>
          <w:sz w:val="22"/>
        </w:rPr>
        <w:t>When moving away from managed platforms, teams must replace capabilities they may not realise they were receiving: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Automated backups and point-in-time recovery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Security updates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Managed certificates and routing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Availability monitoring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Capacity management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Secret storage and rotation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Database upgrades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Tested restoration procedures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Incident response and support</w:t>
      </w:r>
    </w:p>
    <w:p>
      <w:r>
        <w:rPr>
          <w:rFonts w:ascii="Arial" w:hAnsi="Arial"/>
          <w:color w:val="000000"/>
          <w:sz w:val="22"/>
        </w:rPr>
        <w:t>A backup that has never been restored is only an assumption. A private deployment needs documented recovery objectives, off-machine copies, restoration tests, and named operational owners.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Portability should be designed before it is needed</w:t>
      </w:r>
    </w:p>
    <w:p>
      <w:r>
        <w:rPr>
          <w:rFonts w:ascii="Arial" w:hAnsi="Arial"/>
          <w:color w:val="000000"/>
          <w:sz w:val="22"/>
        </w:rPr>
        <w:t>Applications remain easier to move when they: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Use standard production containers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Keep persistent data outside the application container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Maintain repeatable database migrations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Expose health endpoints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Document all required configuration and secrets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Send logs and metrics to configurable destinations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Run long work as durable background jobs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Avoid unnecessary dependencies on a single hosting provider</w:t>
      </w:r>
    </w:p>
    <w:p>
      <w:r>
        <w:rPr>
          <w:rFonts w:ascii="Arial" w:hAnsi="Arial"/>
          <w:color w:val="000000"/>
          <w:sz w:val="22"/>
        </w:rPr>
        <w:t>Portability does not mean refusing useful managed services. It means understanding which services are being used and maintaining a credible replacement path.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External AI remains part of the architecture</w:t>
      </w:r>
    </w:p>
    <w:p>
      <w:r>
        <w:rPr>
          <w:rFonts w:ascii="Arial" w:hAnsi="Arial"/>
          <w:color w:val="000000"/>
          <w:sz w:val="22"/>
        </w:rPr>
        <w:t>A customer may control the application and database while allowing approved calls to an external AI provider. Another customer may require all inference to remain inside its network.</w:t>
      </w:r>
    </w:p>
    <w:p>
      <w:r>
        <w:rPr>
          <w:rFonts w:ascii="Arial" w:hAnsi="Arial"/>
          <w:color w:val="000000"/>
          <w:sz w:val="22"/>
        </w:rPr>
        <w:t>These are separate product profiles. A locally hosted model introduces its own requirements for compute, model lifecycle, evaluation, security, and performance. It should not be described as a simple configuration toggle unless it has genuinely been tested and supported.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Start with an honest availability profile</w:t>
      </w:r>
    </w:p>
    <w:p>
      <w:r>
        <w:rPr>
          <w:rFonts w:ascii="Arial" w:hAnsi="Arial"/>
          <w:color w:val="000000"/>
          <w:sz w:val="22"/>
        </w:rPr>
        <w:t>A first private release may reasonably run on one Linux server with durable encrypted volumes and automated off-machine backups. That can be useful, but it is not automatically highly available.</w:t>
      </w:r>
    </w:p>
    <w:p>
      <w:r>
        <w:rPr>
          <w:rFonts w:ascii="Arial" w:hAnsi="Arial"/>
          <w:color w:val="000000"/>
          <w:sz w:val="22"/>
        </w:rPr>
        <w:t>High availability requires separate engineering: multiple application instances, resilient data services, replicated storage, load balancing, monitoring, failover, and rehearsed recovery.</w:t>
      </w:r>
    </w:p>
    <w:p>
      <w:r>
        <w:rPr>
          <w:rFonts w:ascii="Arial" w:hAnsi="Arial"/>
          <w:color w:val="000000"/>
          <w:sz w:val="22"/>
        </w:rPr>
        <w:t>The service description should state which profile is being offered rather than allowing “private cloud” to imply enterprise resilience by default.</w:t>
      </w:r>
    </w:p>
    <w:p>
      <w:pPr>
        <w:pStyle w:val="Heading1"/>
      </w:pPr>
      <w:r>
        <w:rPr>
          <w:rFonts w:ascii="Arial" w:hAnsi="Arial"/>
          <w:color w:val="000000"/>
          <w:sz w:val="40"/>
        </w:rPr>
        <w:t>The real product is operational confidence</w:t>
      </w:r>
    </w:p>
    <w:p>
      <w:r>
        <w:rPr>
          <w:rFonts w:ascii="Arial" w:hAnsi="Arial"/>
          <w:color w:val="000000"/>
          <w:sz w:val="22"/>
        </w:rPr>
        <w:t>The container image is important. The more difficult deliverables are installation automation, version compatibility, security guidance, migration tooling, monitoring, upgrade procedures, backup restoration, and support ownership.</w:t>
      </w:r>
    </w:p>
    <w:p>
      <w:r>
        <w:rPr>
          <w:rFonts w:ascii="Arial" w:hAnsi="Arial"/>
          <w:color w:val="000000"/>
          <w:sz w:val="22"/>
        </w:rPr>
        <w:t>That is why private deployment should be planned as a product capability. The technical stack gets the application running. The operating model keeps customer data and work available, secure, and recoverable after the installation team has left.</w:t>
      </w:r>
    </w:p>
    <w:p>
      <w:r>
        <w:rPr>
          <w:rFonts w:ascii="Arial" w:hAnsi="Arial"/>
          <w:i/>
          <w:color w:val="000000"/>
          <w:sz w:val="22"/>
        </w:rPr>
        <w:t>Suggested Substack note:</w:t>
      </w:r>
      <w:r>
        <w:rPr>
          <w:rFonts w:ascii="Arial" w:hAnsi="Arial"/>
          <w:color w:val="000000"/>
          <w:sz w:val="22"/>
        </w:rPr>
        <w:t xml:space="preserve"> Private AI deployment is not complete when the containers start. The real product includes backups, upgrades, recovery, monitoring, and clarity about where inference happens.</w:t>
      </w:r>
    </w:p>
    <w:p>
      <w:r>
        <w:rPr>
          <w:rFonts w:ascii="Arial" w:hAnsi="Arial"/>
          <w:i/>
          <w:color w:val="555555"/>
          <w:sz w:val="22"/>
        </w:rPr>
        <w:t>This article provides general information and does not constitute security, legal, or compliance advice.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pabase.com/docs/guides/self-ho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Architecture Governance in Southeast Asia</dc:title>
  <dc:subject>Substack-ready article</dc:subject>
  <dc:creator/>
  <cp:keywords>architecture governance, Southeast Asia, TOGAF, COBIT, AI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