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/>
          <w:b w:val="0"/>
          <w:color w:val="000000"/>
          <w:sz w:val="52"/>
        </w:rPr>
        <w:t>One Default AI Model Is Not Enough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Conversation, structured output, retrieval, and evaluation are different jobs</w:t>
      </w:r>
    </w:p>
    <w:p>
      <w:r>
        <w:rPr>
          <w:rFonts w:ascii="Arial" w:hAnsi="Arial"/>
          <w:color w:val="000000"/>
          <w:sz w:val="22"/>
        </w:rPr>
        <w:t xml:space="preserve">An enterprise AI administration screen may show a list of providers and models with a reassuring label beside one of them: </w:t>
      </w:r>
      <w:r>
        <w:rPr>
          <w:rFonts w:ascii="Arial" w:hAnsi="Arial"/>
          <w:b/>
          <w:color w:val="000000"/>
          <w:sz w:val="22"/>
        </w:rPr>
        <w:t>Default</w:t>
      </w:r>
      <w:r>
        <w:rPr>
          <w:rFonts w:ascii="Arial" w:hAnsi="Arial"/>
          <w:color w:val="000000"/>
          <w:sz w:val="22"/>
        </w:rPr>
        <w:t>.</w:t>
      </w:r>
    </w:p>
    <w:p>
      <w:r>
        <w:rPr>
          <w:rFonts w:ascii="Arial" w:hAnsi="Arial"/>
          <w:color w:val="000000"/>
          <w:sz w:val="22"/>
        </w:rPr>
        <w:t>Default for what?</w:t>
      </w:r>
    </w:p>
    <w:p>
      <w:r>
        <w:rPr>
          <w:rFonts w:ascii="Arial" w:hAnsi="Arial"/>
          <w:color w:val="000000"/>
          <w:sz w:val="22"/>
        </w:rPr>
        <w:t>A model that gives a fluent conversational answer may not be the best model for producing schema-valid JSON. An embedding model does not perform the same job as a generation model. A fast low-cost assistant may be unsuitable as an evaluator for a complex assessment.</w:t>
      </w:r>
    </w:p>
    <w:p>
      <w:r>
        <w:rPr>
          <w:rFonts w:ascii="Arial" w:hAnsi="Arial"/>
          <w:color w:val="000000"/>
          <w:sz w:val="22"/>
        </w:rPr>
        <w:t>Treating all of these roles as one global default hides important operational decisions.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Begin with roles, not provider names</w:t>
      </w:r>
    </w:p>
    <w:p>
      <w:r>
        <w:rPr>
          <w:rFonts w:ascii="Arial" w:hAnsi="Arial"/>
          <w:color w:val="000000"/>
          <w:sz w:val="22"/>
        </w:rPr>
        <w:t>A practical AI system may need several assignments:</w:t>
      </w:r>
    </w:p>
    <w:p>
      <w:r>
        <w:rPr>
          <w:rFonts w:ascii="Arial" w:hAnsi="Arial"/>
          <w:b/>
          <w:color w:val="000000"/>
          <w:sz w:val="22"/>
        </w:rPr>
        <w:t>Conversational generation</w:t>
      </w:r>
    </w:p>
    <w:p>
      <w:r>
        <w:rPr>
          <w:rFonts w:ascii="Arial" w:hAnsi="Arial"/>
          <w:color w:val="000000"/>
          <w:sz w:val="22"/>
        </w:rPr>
        <w:t>Used for general explanation, exploration, and assistant interactions.</w:t>
      </w:r>
    </w:p>
    <w:p>
      <w:r>
        <w:rPr>
          <w:rFonts w:ascii="Arial" w:hAnsi="Arial"/>
          <w:b/>
          <w:color w:val="000000"/>
          <w:sz w:val="22"/>
        </w:rPr>
        <w:t>Structured-output generation</w:t>
      </w:r>
    </w:p>
    <w:p>
      <w:r>
        <w:rPr>
          <w:rFonts w:ascii="Arial" w:hAnsi="Arial"/>
          <w:color w:val="000000"/>
          <w:sz w:val="22"/>
        </w:rPr>
        <w:t>Used when a workflow requires output that validates against a defined schema.</w:t>
      </w:r>
    </w:p>
    <w:p>
      <w:r>
        <w:rPr>
          <w:rFonts w:ascii="Arial" w:hAnsi="Arial"/>
          <w:b/>
          <w:color w:val="000000"/>
          <w:sz w:val="22"/>
        </w:rPr>
        <w:t>Embedding and retrieval</w:t>
      </w:r>
    </w:p>
    <w:p>
      <w:r>
        <w:rPr>
          <w:rFonts w:ascii="Arial" w:hAnsi="Arial"/>
          <w:color w:val="000000"/>
          <w:sz w:val="22"/>
        </w:rPr>
        <w:t>Used to represent documents and queries for semantic search.</w:t>
      </w:r>
    </w:p>
    <w:p>
      <w:r>
        <w:rPr>
          <w:rFonts w:ascii="Arial" w:hAnsi="Arial"/>
          <w:b/>
          <w:color w:val="000000"/>
          <w:sz w:val="22"/>
        </w:rPr>
        <w:t>Evaluation or judging</w:t>
      </w:r>
    </w:p>
    <w:p>
      <w:r>
        <w:rPr>
          <w:rFonts w:ascii="Arial" w:hAnsi="Arial"/>
          <w:color w:val="000000"/>
          <w:sz w:val="22"/>
        </w:rPr>
        <w:t>Used to assess outputs against criteria, preferably with controls against self-evaluation bias.</w:t>
      </w:r>
    </w:p>
    <w:p>
      <w:r>
        <w:rPr>
          <w:rFonts w:ascii="Arial" w:hAnsi="Arial"/>
          <w:b/>
          <w:color w:val="000000"/>
          <w:sz w:val="22"/>
        </w:rPr>
        <w:t>Specialised extraction or classification</w:t>
      </w:r>
    </w:p>
    <w:p>
      <w:r>
        <w:rPr>
          <w:rFonts w:ascii="Arial" w:hAnsi="Arial"/>
          <w:color w:val="000000"/>
          <w:sz w:val="22"/>
        </w:rPr>
        <w:t>Used for narrowly defined tasks where a smaller model may be faster and more reliable.</w:t>
      </w:r>
    </w:p>
    <w:p>
      <w:r>
        <w:rPr>
          <w:rFonts w:ascii="Arial" w:hAnsi="Arial"/>
          <w:color w:val="000000"/>
          <w:sz w:val="22"/>
        </w:rPr>
        <w:t>One model may support several roles, but the assignments should remain conceptually separate.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Enabled is not the same as assigned</w:t>
      </w:r>
    </w:p>
    <w:p>
      <w:r>
        <w:rPr>
          <w:rFonts w:ascii="Arial" w:hAnsi="Arial"/>
          <w:color w:val="000000"/>
          <w:sz w:val="22"/>
        </w:rPr>
        <w:t>Discovering a model from a provider does not prove that it supports every required capability. Enabling it should simply make it available for validated uses.</w:t>
      </w:r>
    </w:p>
    <w:p>
      <w:r>
        <w:rPr>
          <w:rFonts w:ascii="Arial" w:hAnsi="Arial"/>
          <w:color w:val="000000"/>
          <w:sz w:val="22"/>
        </w:rPr>
        <w:t>An administrative interface should distinguish:</w:t>
      </w:r>
    </w:p>
    <w:p>
      <w:pPr>
        <w:pStyle w:val="ListBullet"/>
      </w:pPr>
      <w:r>
        <w:rPr>
          <w:rFonts w:ascii="Arial" w:hAnsi="Arial"/>
          <w:b/>
          <w:color w:val="000000"/>
          <w:sz w:val="22"/>
        </w:rPr>
        <w:t>Availability:</w:t>
      </w:r>
      <w:r>
        <w:rPr>
          <w:rFonts w:ascii="Arial" w:hAnsi="Arial"/>
          <w:color w:val="000000"/>
          <w:sz w:val="22"/>
        </w:rPr>
        <w:t xml:space="preserve"> Is the provider configured and the model enabled?</w:t>
      </w:r>
    </w:p>
    <w:p>
      <w:pPr>
        <w:pStyle w:val="ListBullet"/>
      </w:pPr>
      <w:r>
        <w:rPr>
          <w:rFonts w:ascii="Arial" w:hAnsi="Arial"/>
          <w:b/>
          <w:color w:val="000000"/>
          <w:sz w:val="22"/>
        </w:rPr>
        <w:t>Capability:</w:t>
      </w:r>
      <w:r>
        <w:rPr>
          <w:rFonts w:ascii="Arial" w:hAnsi="Arial"/>
          <w:color w:val="000000"/>
          <w:sz w:val="22"/>
        </w:rPr>
        <w:t xml:space="preserve"> Has chat, tool use, structured output, or embedding behaviour been verified?</w:t>
      </w:r>
    </w:p>
    <w:p>
      <w:pPr>
        <w:pStyle w:val="ListBullet"/>
      </w:pPr>
      <w:r>
        <w:rPr>
          <w:rFonts w:ascii="Arial" w:hAnsi="Arial"/>
          <w:b/>
          <w:color w:val="000000"/>
          <w:sz w:val="22"/>
        </w:rPr>
        <w:t>Assignment:</w:t>
      </w:r>
      <w:r>
        <w:rPr>
          <w:rFonts w:ascii="Arial" w:hAnsi="Arial"/>
          <w:color w:val="000000"/>
          <w:sz w:val="22"/>
        </w:rPr>
        <w:t xml:space="preserve"> Which application role currently uses the model?</w:t>
      </w:r>
    </w:p>
    <w:p>
      <w:pPr>
        <w:pStyle w:val="ListBullet"/>
      </w:pPr>
      <w:r>
        <w:rPr>
          <w:rFonts w:ascii="Arial" w:hAnsi="Arial"/>
          <w:b/>
          <w:color w:val="000000"/>
          <w:sz w:val="22"/>
        </w:rPr>
        <w:t>Health:</w:t>
      </w:r>
      <w:r>
        <w:rPr>
          <w:rFonts w:ascii="Arial" w:hAnsi="Arial"/>
          <w:color w:val="000000"/>
          <w:sz w:val="22"/>
        </w:rPr>
        <w:t xml:space="preserve"> Is the configuration operating successfully now?</w:t>
      </w:r>
    </w:p>
    <w:p>
      <w:r>
        <w:rPr>
          <w:rFonts w:ascii="Arial" w:hAnsi="Arial"/>
          <w:color w:val="000000"/>
          <w:sz w:val="22"/>
        </w:rPr>
        <w:t>Without those distinctions, an administrator may believe that checking “Enabled” has changed the assistant, or that selecting a default on one provider affects only that provider when it actually replaces an application-wide assignment.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Use product language</w:t>
      </w:r>
    </w:p>
    <w:p>
      <w:r>
        <w:rPr>
          <w:rFonts w:ascii="Arial" w:hAnsi="Arial"/>
          <w:color w:val="000000"/>
          <w:sz w:val="22"/>
        </w:rPr>
        <w:t>Labels such as “generation default” and “structured default” expose implementation terminology without explaining the user impact.</w:t>
      </w:r>
    </w:p>
    <w:p>
      <w:r>
        <w:rPr>
          <w:rFonts w:ascii="Arial" w:hAnsi="Arial"/>
          <w:color w:val="000000"/>
          <w:sz w:val="22"/>
        </w:rPr>
        <w:t>Clearer labels would say:</w:t>
      </w:r>
    </w:p>
    <w:p>
      <w:pPr>
        <w:pStyle w:val="ListBullet"/>
      </w:pPr>
      <w:r>
        <w:rPr>
          <w:rFonts w:ascii="Arial" w:hAnsi="Arial"/>
          <w:b/>
          <w:color w:val="000000"/>
          <w:sz w:val="22"/>
        </w:rPr>
        <w:t>Conversational AI default — used by the assistant when no other model is selected</w:t>
      </w:r>
    </w:p>
    <w:p>
      <w:pPr>
        <w:pStyle w:val="ListBullet"/>
      </w:pPr>
      <w:r>
        <w:rPr>
          <w:rFonts w:ascii="Arial" w:hAnsi="Arial"/>
          <w:b/>
          <w:color w:val="000000"/>
          <w:sz w:val="22"/>
        </w:rPr>
        <w:t>Structured-output default — used by workflows requiring validated schema-constrained output</w:t>
      </w:r>
    </w:p>
    <w:p>
      <w:r>
        <w:rPr>
          <w:rFonts w:ascii="Arial" w:hAnsi="Arial"/>
          <w:color w:val="000000"/>
          <w:sz w:val="22"/>
        </w:rPr>
        <w:t>Before a change, the interface should identify both the old and new assignment and explain which experiences will be affected.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Model choice is an operational decision</w:t>
      </w:r>
    </w:p>
    <w:p>
      <w:r>
        <w:rPr>
          <w:rFonts w:ascii="Arial" w:hAnsi="Arial"/>
          <w:color w:val="000000"/>
          <w:sz w:val="22"/>
        </w:rPr>
        <w:t>The best model is not always the largest or most expensive. Selection depends on: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Accuracy for the actual task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Tool-use and schema reliability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Latency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Context requirements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Cost and rate limits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Data-processing constraints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Regional availability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Failure and fallback behaviour</w:t>
      </w:r>
    </w:p>
    <w:p>
      <w:r>
        <w:rPr>
          <w:rFonts w:ascii="Arial" w:hAnsi="Arial"/>
          <w:color w:val="000000"/>
          <w:sz w:val="22"/>
        </w:rPr>
        <w:t>These factors should be tested using representative work, not inferred solely from a benchmark or provider description.</w:t>
      </w:r>
    </w:p>
    <w:p>
      <w:r>
        <w:rPr>
          <w:rFonts w:ascii="Arial" w:hAnsi="Arial"/>
          <w:color w:val="000000"/>
          <w:sz w:val="22"/>
        </w:rPr>
        <w:t xml:space="preserve">NIST’s AI Risk Management Framework presents testing, evaluation, verification, and validation as continuing parts of responsible AI risk management. </w:t>
      </w:r>
      <w:hyperlink r:id="rId9">
        <w:r>
          <w:rPr>
            <w:rFonts w:ascii="Arial" w:hAnsi="Arial"/>
            <w:color w:val="1155CC"/>
            <w:u w:val="single"/>
          </w:rPr>
          <w:t>NIST AI Resource Center</w:t>
        </w:r>
      </w:hyperlink>
    </w:p>
    <w:p>
      <w:pPr>
        <w:pStyle w:val="Heading1"/>
      </w:pPr>
      <w:r>
        <w:rPr>
          <w:rFonts w:ascii="Arial" w:hAnsi="Arial"/>
          <w:color w:val="000000"/>
          <w:sz w:val="40"/>
        </w:rPr>
        <w:t>Preserve the model used for each output</w:t>
      </w:r>
    </w:p>
    <w:p>
      <w:r>
        <w:rPr>
          <w:rFonts w:ascii="Arial" w:hAnsi="Arial"/>
          <w:color w:val="000000"/>
          <w:sz w:val="22"/>
        </w:rPr>
        <w:t>Administrative assignments change over time. Historical outputs should retain the provider and model that actually produced them.</w:t>
      </w:r>
    </w:p>
    <w:p>
      <w:r>
        <w:rPr>
          <w:rFonts w:ascii="Arial" w:hAnsi="Arial"/>
          <w:color w:val="000000"/>
          <w:sz w:val="22"/>
        </w:rPr>
        <w:t>This turns model changes into reviewable operational events. Teams can compare failure rates before and after a change, reproduce an evaluation, and avoid falsely relabelling old work with the current default.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Fallbacks should not be invisible</w:t>
      </w:r>
    </w:p>
    <w:p>
      <w:r>
        <w:rPr>
          <w:rFonts w:ascii="Arial" w:hAnsi="Arial"/>
          <w:color w:val="000000"/>
          <w:sz w:val="22"/>
        </w:rPr>
        <w:t>If a primary model is unavailable, a fallback may keep a service usable. But silently moving to a different model can affect quality, cost, data location, or capability.</w:t>
      </w:r>
    </w:p>
    <w:p>
      <w:r>
        <w:rPr>
          <w:rFonts w:ascii="Arial" w:hAnsi="Arial"/>
          <w:color w:val="000000"/>
          <w:sz w:val="22"/>
        </w:rPr>
        <w:t>Fallback rules should specify: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Which roles permit fallback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Which models are eligible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Whether the user is informed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What happens when structured validation fails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How the event is logged and reviewed</w:t>
      </w:r>
    </w:p>
    <w:p>
      <w:r>
        <w:rPr>
          <w:rFonts w:ascii="Arial" w:hAnsi="Arial"/>
          <w:color w:val="000000"/>
          <w:sz w:val="22"/>
        </w:rPr>
        <w:t>For consequential work, failure may be safer than an undisclosed substitution.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Make the assignment map visible</w:t>
      </w:r>
    </w:p>
    <w:p>
      <w:r>
        <w:rPr>
          <w:rFonts w:ascii="Arial" w:hAnsi="Arial"/>
          <w:color w:val="000000"/>
          <w:sz w:val="22"/>
        </w:rPr>
        <w:t>An administrator should be able to answer these questions from one screen: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Which model powers ordinary conversation?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Which model produces structured outputs?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Which model creates and queries embeddings?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Which model evaluates results?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Which workflows consume each assignment?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What will change if an assignment is replaced?</w:t>
      </w:r>
    </w:p>
    <w:p>
      <w:r>
        <w:rPr>
          <w:rFonts w:ascii="Arial" w:hAnsi="Arial"/>
          <w:color w:val="000000"/>
          <w:sz w:val="22"/>
        </w:rPr>
        <w:t>The phrase “AI model” hides a growing collection of specialised operational roles. An evidence-led AI enterprise should make those roles visible, test them independently, and record which model did the work.</w:t>
      </w:r>
    </w:p>
    <w:p>
      <w:r>
        <w:rPr>
          <w:rFonts w:ascii="Arial" w:hAnsi="Arial"/>
          <w:i/>
          <w:color w:val="000000"/>
          <w:sz w:val="22"/>
        </w:rPr>
        <w:t>Suggested Substack note:</w:t>
      </w:r>
      <w:r>
        <w:rPr>
          <w:rFonts w:ascii="Arial" w:hAnsi="Arial"/>
          <w:color w:val="000000"/>
          <w:sz w:val="22"/>
        </w:rPr>
        <w:t xml:space="preserve"> “Default model” is not enough information. Conversation, structured output, retrieval, and evaluation are different jobs—and administrators should see exactly which model performs each one.</w:t>
      </w:r>
    </w:p>
    <w:p>
      <w:r>
        <w:rPr>
          <w:rFonts w:ascii="Arial" w:hAnsi="Arial"/>
          <w:i/>
          <w:color w:val="555555"/>
          <w:sz w:val="22"/>
        </w:rPr>
        <w:t>This article provides general information and does not constitute procurement, security, or compliance advice.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irc.nist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Architecture Governance in Southeast Asia</dc:title>
  <dc:subject>Substack-ready article</dc:subject>
  <dc:creator/>
  <cp:keywords>architecture governance, Southeast Asia, TOGAF, COBIT, AI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