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Hybrid Retrieval</w:t>
      </w:r>
    </w:p>
    <w:p>
      <w:r>
        <w:t xml:space="preserve">Hybrid retrieval combines dense vector search with sparse keyword-based search (such as BM25) to retrieve candidate evidence for a query.</w:t>
      </w:r>
    </w:p>
    <w:p>
      <w:r>
        <w:t xml:space="preserve">Vector search is strong at semantic similarity but can miss exact terms, identifiers, or rare vocabulary. Keyword search is strong at exact matches but misses paraphrases and synonyms.</w:t>
      </w:r>
    </w:p>
    <w:p>
      <w:pPr>
        <w:pStyle w:val="Heading2"/>
      </w:pPr>
      <w:r>
        <w:t xml:space="preserve">When Hybrid Retrieval Helps</w:t>
      </w:r>
    </w:p>
    <w:p>
      <w:r>
        <w:t xml:space="preserve">Hybrid retrieval is particularly useful for technical documentation containing specific identifiers, codes, or product names alongside conceptual explanations, where neither pure vector nor pure keyword search alone performs well.</w:t>
      </w:r>
    </w:p>
    <w:p>
      <w:r>
        <w:t xml:space="preserve">Results from both retrieval methods are typically combined with a fusion method such as reciprocal rank fusion before being passed to a reranker or directly to the generation step.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2026-08-09T06:06:15.632Z</dcterms:created>
  <dcterms:modified xsi:type="dcterms:W3CDTF">2026-08-09T06:06:15.632Z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