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jc w:val="center"/>
      </w:pPr>
      <w:r>
        <w:rPr>
          <w:rFonts w:ascii="Calibri" w:hAnsi="Calibri"/>
          <w:b/>
          <w:color w:val="2E74B5"/>
          <w:sz w:val="20"/>
        </w:rPr>
        <w:t>JOINT SOLUTION PROPOSAL</w:t>
      </w:r>
    </w:p>
    <w:p>
      <w:pPr>
        <w:spacing w:after="120"/>
        <w:jc w:val="center"/>
      </w:pPr>
      <w:r>
        <w:rPr>
          <w:rFonts w:ascii="Calibri" w:hAnsi="Calibri"/>
          <w:b/>
          <w:color w:val="17365D"/>
          <w:sz w:val="54"/>
        </w:rPr>
        <w:t>Zadara Knowledge Copilot</w:t>
      </w:r>
    </w:p>
    <w:p>
      <w:pPr>
        <w:spacing w:after="360"/>
        <w:jc w:val="center"/>
      </w:pPr>
      <w:r>
        <w:rPr>
          <w:rFonts w:ascii="Calibri" w:hAnsi="Calibri"/>
          <w:color w:val="5B6573"/>
          <w:sz w:val="28"/>
        </w:rPr>
        <w:t>A sovereign, governed knowledge layer for Sandz employees and enterprise customers</w:t>
      </w:r>
    </w:p>
    <w:tbl>
      <w:tblPr>
        <w:tblW w:type="dxa" w:w="9360"/>
        <w:jc w:val="center"/>
        <w:tblLayout w:type="fixed"/>
        <w:tblLook w:firstColumn="1" w:firstRow="1" w:lastColumn="0" w:lastRow="0" w:noHBand="0" w:noVBand="1" w:val="04A0"/>
        <w:tblInd w:w="120" w:type="dxa"/>
      </w:tblPr>
      <w:tblGrid>
        <w:gridCol w:w="2520"/>
        <w:gridCol w:w="6840"/>
      </w:tblGrid>
      <w:tr>
        <w:tc>
          <w:tcPr>
            <w:tcW w:type="dxa" w:w="2520"/>
            <w:tcMar>
              <w:top w:w="100" w:type="dxa"/>
              <w:start w:w="120" w:type="dxa"/>
              <w:bottom w:w="100" w:type="dxa"/>
              <w:end w:w="120" w:type="dxa"/>
            </w:tcMar>
            <w:shd w:fill="EEF3F8"/>
            <w:vAlign w:val="center"/>
          </w:tcPr>
          <w:p>
            <w:pPr>
              <w:keepLines/>
              <w:spacing w:after="60"/>
            </w:pPr>
            <w:r>
              <w:rPr>
                <w:rFonts w:ascii="Calibri" w:hAnsi="Calibri"/>
                <w:b/>
                <w:color w:val="17365D"/>
              </w:rPr>
              <w:t>Prepared for</w:t>
            </w:r>
          </w:p>
        </w:tc>
        <w:tc>
          <w:tcPr>
            <w:tcW w:type="dxa" w:w="6840"/>
            <w:tcMar>
              <w:top w:w="100" w:type="dxa"/>
              <w:start w:w="120" w:type="dxa"/>
              <w:bottom w:w="100" w:type="dxa"/>
              <w:end w:w="120" w:type="dxa"/>
            </w:tcMar>
            <w:vAlign w:val="center"/>
          </w:tcPr>
          <w:p>
            <w:pPr>
              <w:keepLines/>
              <w:spacing w:after="60"/>
            </w:pPr>
            <w:r>
              <w:rPr>
                <w:rFonts w:ascii="Calibri" w:hAnsi="Calibri"/>
              </w:rPr>
              <w:t>Sandz Solutions Philippines and Zadara</w:t>
            </w:r>
          </w:p>
        </w:tc>
      </w:tr>
      <w:tr>
        <w:tc>
          <w:tcPr>
            <w:tcW w:type="dxa" w:w="2520"/>
            <w:tcMar>
              <w:top w:w="100" w:type="dxa"/>
              <w:start w:w="120" w:type="dxa"/>
              <w:bottom w:w="100" w:type="dxa"/>
              <w:end w:w="120" w:type="dxa"/>
            </w:tcMar>
            <w:shd w:fill="EEF3F8"/>
            <w:vAlign w:val="center"/>
          </w:tcPr>
          <w:p>
            <w:pPr>
              <w:keepLines/>
              <w:spacing w:after="60"/>
            </w:pPr>
            <w:r>
              <w:rPr>
                <w:rFonts w:ascii="Calibri" w:hAnsi="Calibri"/>
                <w:b/>
                <w:color w:val="17365D"/>
              </w:rPr>
              <w:t>Proposed by</w:t>
            </w:r>
          </w:p>
        </w:tc>
        <w:tc>
          <w:tcPr>
            <w:tcW w:type="dxa" w:w="6840"/>
            <w:tcMar>
              <w:top w:w="100" w:type="dxa"/>
              <w:start w:w="120" w:type="dxa"/>
              <w:bottom w:w="100" w:type="dxa"/>
              <w:end w:w="120" w:type="dxa"/>
            </w:tcMar>
            <w:vAlign w:val="center"/>
          </w:tcPr>
          <w:p>
            <w:pPr>
              <w:keepLines/>
              <w:spacing w:after="60"/>
            </w:pPr>
            <w:r>
              <w:rPr>
                <w:rFonts w:ascii="Calibri" w:hAnsi="Calibri"/>
              </w:rPr>
              <w:t>kbSandbox / Mike Abundo</w:t>
            </w:r>
          </w:p>
        </w:tc>
      </w:tr>
      <w:tr>
        <w:tc>
          <w:tcPr>
            <w:tcW w:type="dxa" w:w="2520"/>
            <w:tcMar>
              <w:top w:w="100" w:type="dxa"/>
              <w:start w:w="120" w:type="dxa"/>
              <w:bottom w:w="100" w:type="dxa"/>
              <w:end w:w="120" w:type="dxa"/>
            </w:tcMar>
            <w:shd w:fill="EEF3F8"/>
            <w:vAlign w:val="center"/>
          </w:tcPr>
          <w:p>
            <w:pPr>
              <w:keepLines/>
              <w:spacing w:after="60"/>
            </w:pPr>
            <w:r>
              <w:rPr>
                <w:rFonts w:ascii="Calibri" w:hAnsi="Calibri"/>
                <w:b/>
                <w:color w:val="17365D"/>
              </w:rPr>
              <w:t>Initial scope</w:t>
            </w:r>
          </w:p>
        </w:tc>
        <w:tc>
          <w:tcPr>
            <w:tcW w:type="dxa" w:w="6840"/>
            <w:tcMar>
              <w:top w:w="100" w:type="dxa"/>
              <w:start w:w="120" w:type="dxa"/>
              <w:bottom w:w="100" w:type="dxa"/>
              <w:end w:w="120" w:type="dxa"/>
            </w:tcMar>
            <w:vAlign w:val="center"/>
          </w:tcPr>
          <w:p>
            <w:pPr>
              <w:keepLines/>
              <w:spacing w:after="60"/>
            </w:pPr>
            <w:r>
              <w:rPr>
                <w:rFonts w:ascii="Calibri" w:hAnsi="Calibri"/>
              </w:rPr>
              <w:t>Phase 1: read-only knowledge copilot; no live customer connection</w:t>
            </w:r>
          </w:p>
        </w:tc>
      </w:tr>
      <w:tr>
        <w:tc>
          <w:tcPr>
            <w:tcW w:type="dxa" w:w="2520"/>
            <w:tcMar>
              <w:top w:w="100" w:type="dxa"/>
              <w:start w:w="120" w:type="dxa"/>
              <w:bottom w:w="100" w:type="dxa"/>
              <w:end w:w="120" w:type="dxa"/>
            </w:tcMar>
            <w:shd w:fill="EEF3F8"/>
            <w:vAlign w:val="center"/>
          </w:tcPr>
          <w:p>
            <w:pPr>
              <w:keepLines/>
              <w:spacing w:after="60"/>
            </w:pPr>
            <w:r>
              <w:rPr>
                <w:rFonts w:ascii="Calibri" w:hAnsi="Calibri"/>
                <w:b/>
                <w:color w:val="17365D"/>
              </w:rPr>
              <w:t>Date / status</w:t>
            </w:r>
          </w:p>
        </w:tc>
        <w:tc>
          <w:tcPr>
            <w:tcW w:type="dxa" w:w="6840"/>
            <w:tcMar>
              <w:top w:w="100" w:type="dxa"/>
              <w:start w:w="120" w:type="dxa"/>
              <w:bottom w:w="100" w:type="dxa"/>
              <w:end w:w="120" w:type="dxa"/>
            </w:tcMar>
            <w:vAlign w:val="center"/>
          </w:tcPr>
          <w:p>
            <w:pPr>
              <w:keepLines/>
              <w:spacing w:after="60"/>
            </w:pPr>
            <w:r>
              <w:rPr>
                <w:rFonts w:ascii="Calibri" w:hAnsi="Calibri"/>
              </w:rPr>
              <w:t>24 August 2026 | Confidential discussion draft</w:t>
            </w:r>
          </w:p>
        </w:tc>
      </w:tr>
    </w:tbl>
    <w:p>
      <w:pPr>
        <w:spacing w:after="60"/>
        <w:jc w:val="center"/>
      </w:pPr>
      <w:r>
        <w:rPr>
          <w:rFonts w:ascii="Calibri" w:hAnsi="Calibri"/>
          <w:color w:val="5B6573"/>
          <w:sz w:val="28"/>
        </w:rPr>
        <w:t>Version 1.1 | 24 August 2026 | Draft for discussion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8F1ED"/>
          </w:tcPr>
          <w:p>
            <w:pPr>
              <w:keepLines/>
              <w:spacing w:after="60"/>
            </w:pPr>
            <w:r>
              <w:rPr>
                <w:rFonts w:ascii="Calibri" w:hAnsi="Calibri"/>
                <w:b/>
                <w:color w:val="2E74B5"/>
                <w:sz w:val="18"/>
              </w:rPr>
              <w:t>PROPOSAL IN ONE SENTENCE</w:t>
            </w:r>
          </w:p>
          <w:p>
            <w:pPr>
              <w:keepLines/>
              <w:spacing w:after="60" w:line="276" w:lineRule="auto"/>
            </w:pPr>
            <w:r>
              <w:rPr>
                <w:rFonts w:ascii="Calibri" w:hAnsi="Calibri"/>
                <w:b/>
                <w:color w:val="17365D"/>
                <w:sz w:val="22"/>
              </w:rPr>
              <w:t>Deploy kbSandbox first as a cited Zadara and Sandz knowledge copilot, prove measurable value in proposals and support, then consider governed read-only integrations with Zadara APIs.</w:t>
            </w:r>
          </w:p>
        </w:tc>
      </w:tr>
    </w:tbl>
    <w:p>
      <w:pPr>
        <w:spacing w:after="40"/>
      </w:pPr>
    </w:p>
    <w:p>
      <w:pPr>
        <w:pStyle w:val="Heading1"/>
      </w:pPr>
      <w:r>
        <w:t>1. Executive Summary</w:t>
      </w:r>
    </w:p>
    <w:p>
      <w:pPr>
        <w:spacing w:after="160" w:line="288" w:lineRule="auto"/>
      </w:pPr>
      <w:r>
        <w:rPr>
          <w:rFonts w:ascii="Calibri" w:hAnsi="Calibri"/>
          <w:i w:val="0"/>
        </w:rPr>
        <w:t>Sandz already provides enterprise storage, cloud infrastructure and managed services and has invested in Zadara Sovereign Edge and AI Cloud capability. The proposed Zadara Knowledge Copilot adds an immediately usable application layer: Sandz employees ask questions in natural language and receive answers grounded in approved Zadara and Sandz content, with citations and clear boundaries around uncertainty.</w:t>
      </w:r>
    </w:p>
    <w:p>
      <w:pPr>
        <w:spacing w:after="160" w:line="288" w:lineRule="auto"/>
      </w:pPr>
      <w:r>
        <w:rPr>
          <w:rFonts w:ascii="Calibri" w:hAnsi="Calibri"/>
          <w:i w:val="0"/>
        </w:rPr>
        <w:t>Phase 1 does not connect to a live customer environment and cannot make infrastructure changes. It focuses on two high-value workflows: accelerating proposal development and improving first-line diagnosis and response to client complaints. This creates a low-risk way to evaluate kbSandbox, capture institutional knowledge and demonstrate how sovereign infrastructure can support practical enterprise AI.</w:t>
      </w:r>
    </w:p>
    <w:p>
      <w:pPr>
        <w:spacing w:after="160" w:line="288" w:lineRule="auto"/>
      </w:pPr>
      <w:r>
        <w:rPr>
          <w:rFonts w:ascii="Calibri" w:hAnsi="Calibri"/>
          <w:i w:val="0"/>
        </w:rPr>
        <w:t>For Zadara, the pilot offers a repeatable partner-enablement pattern: make technical documentation easier to use, help trained partners produce more consistent solutions, and create a path toward customer-specific, governed AI operations without replacing Zadara APIs or management tools.</w:t>
      </w:r>
    </w:p>
    <w:p>
      <w:pPr>
        <w:pStyle w:val="Heading1"/>
      </w:pPr>
      <w:r>
        <w:t>2. Strategic Opportunity</w:t>
      </w:r>
    </w:p>
    <w:p>
      <w:pPr>
        <w:spacing w:after="160" w:line="288" w:lineRule="auto"/>
      </w:pPr>
      <w:r>
        <w:rPr>
          <w:rFonts w:ascii="Calibri" w:hAnsi="Calibri"/>
          <w:i w:val="0"/>
        </w:rPr>
        <w:t>The May 2025 Zadara Tech Tour Manila, co-presented by Sandz, emphasized sovereign edge and AI cloud infrastructure, data privacy, multitenancy and hybrid deployment. That establishes an infrastructure foundation and market narrative. The remaining opportunity is to give employees and customers a governed way to apply that infrastructure to everyday knowledge-intensive work.</w:t>
      </w:r>
    </w:p>
    <w:p>
      <w:pPr>
        <w:pStyle w:val="ListBullet"/>
        <w:spacing w:after="80" w:line="290" w:lineRule="auto"/>
      </w:pPr>
      <w:r>
        <w:rPr>
          <w:rFonts w:ascii="Calibri" w:hAnsi="Calibri"/>
        </w:rPr>
        <w:t>Turn Zadara product knowledge into faster, more consistent sales and engineering output.</w:t>
      </w:r>
    </w:p>
    <w:p>
      <w:pPr>
        <w:pStyle w:val="ListBullet"/>
        <w:spacing w:after="80" w:line="290" w:lineRule="auto"/>
      </w:pPr>
      <w:r>
        <w:rPr>
          <w:rFonts w:ascii="Calibri" w:hAnsi="Calibri"/>
        </w:rPr>
        <w:t>Reduce time spent searching manuals, release notes, runbooks and prior cases.</w:t>
      </w:r>
    </w:p>
    <w:p>
      <w:pPr>
        <w:pStyle w:val="ListBullet"/>
        <w:spacing w:after="80" w:line="290" w:lineRule="auto"/>
      </w:pPr>
      <w:r>
        <w:rPr>
          <w:rFonts w:ascii="Calibri" w:hAnsi="Calibri"/>
        </w:rPr>
        <w:t>Preserve Sandz expertise that otherwise remains distributed across people, files and email.</w:t>
      </w:r>
    </w:p>
    <w:p>
      <w:pPr>
        <w:pStyle w:val="ListBullet"/>
        <w:spacing w:after="80" w:line="290" w:lineRule="auto"/>
      </w:pPr>
      <w:r>
        <w:rPr>
          <w:rFonts w:ascii="Calibri" w:hAnsi="Calibri"/>
        </w:rPr>
        <w:t>Create a demonstrable sovereign-AI use case that complements Sandz managed infrastructure.</w:t>
      </w:r>
    </w:p>
    <w:p>
      <w:pPr>
        <w:pStyle w:val="ListBullet"/>
        <w:spacing w:after="80" w:line="290" w:lineRule="auto"/>
      </w:pPr>
      <w:r>
        <w:rPr>
          <w:rFonts w:ascii="Calibri" w:hAnsi="Calibri"/>
        </w:rPr>
        <w:t>Establish a reusable model for other Sandz technology partners and customer environments.</w:t>
      </w:r>
    </w:p>
    <w:p>
      <w:pPr>
        <w:pStyle w:val="Heading1"/>
      </w:pPr>
      <w:r>
        <w:t>3. Proposed Use Case 1: Sandz Knowledge Copilot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EF3F8"/>
          </w:tcPr>
          <w:p>
            <w:pPr>
              <w:keepLines/>
              <w:spacing w:after="60"/>
            </w:pPr>
            <w:r>
              <w:rPr>
                <w:rFonts w:ascii="Calibri" w:hAnsi="Calibri"/>
                <w:b/>
                <w:color w:val="2E74B5"/>
                <w:sz w:val="18"/>
              </w:rPr>
              <w:t>PHASE 1 BOUNDARY</w:t>
            </w:r>
          </w:p>
          <w:p>
            <w:pPr>
              <w:keepLines/>
              <w:spacing w:after="60" w:line="276" w:lineRule="auto"/>
            </w:pPr>
            <w:r>
              <w:rPr>
                <w:rFonts w:ascii="Calibri" w:hAnsi="Calibri"/>
                <w:b/>
                <w:color w:val="17365D"/>
                <w:sz w:val="22"/>
              </w:rPr>
              <w:t>Read-only knowledge retrieval and content generation through the kbSandbox chat interface. No live connection to customer storage, no Zadara administration and no autonomous changes.</w:t>
            </w:r>
          </w:p>
        </w:tc>
      </w:tr>
    </w:tbl>
    <w:p>
      <w:pPr>
        <w:spacing w:after="40"/>
      </w:pPr>
    </w:p>
    <w:p>
      <w:pPr>
        <w:spacing w:after="160" w:line="288" w:lineRule="auto"/>
      </w:pPr>
      <w:r>
        <w:rPr>
          <w:rFonts w:ascii="Calibri" w:hAnsi="Calibri"/>
          <w:i w:val="0"/>
        </w:rPr>
        <w:t>Sandz employees use the existing kbSandbox chat interface to ask natural-language questions. Retrieval identifies relevant approved Zadara and Sandz material and generates a grounded response with citations. The assistant should distinguish documented facts, reasoned recommendations and missing information.</w:t>
      </w:r>
    </w:p>
    <w:p>
      <w:pPr>
        <w:pStyle w:val="Heading2"/>
      </w:pPr>
      <w:r>
        <w:t>3.1 Initial knowledge sources</w:t>
      </w:r>
    </w:p>
    <w:p>
      <w:pPr>
        <w:pStyle w:val="ListBullet"/>
        <w:spacing w:after="80" w:line="290" w:lineRule="auto"/>
      </w:pPr>
      <w:r>
        <w:rPr>
          <w:rFonts w:ascii="Calibri" w:hAnsi="Calibri"/>
        </w:rPr>
        <w:t>Zadara product, user and administration guides</w:t>
      </w:r>
    </w:p>
    <w:p>
      <w:pPr>
        <w:pStyle w:val="ListBullet"/>
        <w:spacing w:after="80" w:line="290" w:lineRule="auto"/>
      </w:pPr>
      <w:r>
        <w:rPr>
          <w:rFonts w:ascii="Calibri" w:hAnsi="Calibri"/>
        </w:rPr>
        <w:t>Zadara API guides, release notes and known limitations</w:t>
      </w:r>
    </w:p>
    <w:p>
      <w:pPr>
        <w:pStyle w:val="ListBullet"/>
        <w:spacing w:after="80" w:line="290" w:lineRule="auto"/>
      </w:pPr>
      <w:r>
        <w:rPr>
          <w:rFonts w:ascii="Calibri" w:hAnsi="Calibri"/>
        </w:rPr>
        <w:t>Sandz product descriptions and service catalogues</w:t>
      </w:r>
    </w:p>
    <w:p>
      <w:pPr>
        <w:pStyle w:val="ListBullet"/>
        <w:spacing w:after="80" w:line="290" w:lineRule="auto"/>
      </w:pPr>
      <w:r>
        <w:rPr>
          <w:rFonts w:ascii="Calibri" w:hAnsi="Calibri"/>
        </w:rPr>
        <w:t>Reference architectures and approved sizing guides</w:t>
      </w:r>
    </w:p>
    <w:p>
      <w:pPr>
        <w:pStyle w:val="ListBullet"/>
        <w:spacing w:after="80" w:line="290" w:lineRule="auto"/>
      </w:pPr>
      <w:r>
        <w:rPr>
          <w:rFonts w:ascii="Calibri" w:hAnsi="Calibri"/>
        </w:rPr>
        <w:t>Approved proposal templates, commercial rules and pricing guidance</w:t>
      </w:r>
    </w:p>
    <w:p>
      <w:pPr>
        <w:pStyle w:val="ListBullet"/>
        <w:spacing w:after="80" w:line="290" w:lineRule="auto"/>
      </w:pPr>
      <w:r>
        <w:rPr>
          <w:rFonts w:ascii="Calibri" w:hAnsi="Calibri"/>
        </w:rPr>
        <w:t>Support runbooks, escalation procedures and troubleshooting checklists</w:t>
      </w:r>
    </w:p>
    <w:p>
      <w:pPr>
        <w:pStyle w:val="ListBullet"/>
        <w:spacing w:after="80" w:line="290" w:lineRule="auto"/>
      </w:pPr>
      <w:r>
        <w:rPr>
          <w:rFonts w:ascii="Calibri" w:hAnsi="Calibri"/>
        </w:rPr>
        <w:t>Resolved tickets and post-incident reports</w:t>
      </w:r>
    </w:p>
    <w:p>
      <w:pPr>
        <w:pStyle w:val="ListBullet"/>
        <w:spacing w:after="80" w:line="290" w:lineRule="auto"/>
      </w:pPr>
      <w:r>
        <w:rPr>
          <w:rFonts w:ascii="Calibri" w:hAnsi="Calibri"/>
        </w:rPr>
        <w:t>Customer contracts, SLAs and configuration records, subject to access controls</w:t>
      </w:r>
    </w:p>
    <w:p>
      <w:pPr>
        <w:pStyle w:val="ListBullet"/>
        <w:spacing w:after="80" w:line="290" w:lineRule="auto"/>
      </w:pPr>
      <w:r>
        <w:rPr>
          <w:rFonts w:ascii="Calibri" w:hAnsi="Calibri"/>
        </w:rPr>
        <w:t>Customer communications and complaint histories where lawful, appropriate and approved</w:t>
      </w:r>
    </w:p>
    <w:p>
      <w:pPr>
        <w:pStyle w:val="Heading2"/>
      </w:pPr>
      <w:r>
        <w:t>3.2 Proposal support</w:t>
      </w:r>
    </w:p>
    <w:p>
      <w:pPr>
        <w:spacing w:after="160" w:line="288" w:lineRule="auto"/>
      </w:pPr>
      <w:r>
        <w:rPr>
          <w:rFonts w:ascii="Calibri" w:hAnsi="Calibri"/>
          <w:b/>
        </w:rPr>
        <w:t>Example employee request:</w:t>
      </w:r>
      <w:r>
        <w:rPr>
          <w:rFonts w:ascii="Calibri" w:hAnsi="Calibri"/>
          <w:i w:val="0"/>
        </w:rPr>
      </w:r>
    </w:p>
    <w:p>
      <w:pPr>
        <w:spacing w:after="160" w:line="288" w:lineRule="auto"/>
      </w:pPr>
      <w:r>
        <w:rPr>
          <w:rFonts w:ascii="Calibri" w:hAnsi="Calibri"/>
          <w:i/>
        </w:rPr>
        <w:t>“Draft a storage proposal for a Philippine bank requiring 500 TB usable object storage, local data residency, immutable backups and three-year growth to 1 PB.”</w:t>
      </w:r>
    </w:p>
    <w:p>
      <w:pPr>
        <w:spacing w:after="160" w:line="288" w:lineRule="auto"/>
      </w:pPr>
      <w:r>
        <w:rPr>
          <w:rFonts w:ascii="Calibri" w:hAnsi="Calibri"/>
          <w:b/>
        </w:rPr>
        <w:t>kbSandbox could:</w:t>
      </w:r>
      <w:r>
        <w:rPr>
          <w:rFonts w:ascii="Calibri" w:hAnsi="Calibri"/>
          <w:i w:val="0"/>
        </w:rPr>
      </w:r>
    </w:p>
    <w:p>
      <w:pPr>
        <w:pStyle w:val="ListBullet"/>
        <w:spacing w:after="80" w:line="290" w:lineRule="auto"/>
      </w:pPr>
      <w:r>
        <w:rPr>
          <w:rFonts w:ascii="Calibri" w:hAnsi="Calibri"/>
        </w:rPr>
        <w:t>Identify potentially applicable Zadara capabilities</w:t>
      </w:r>
    </w:p>
    <w:p>
      <w:pPr>
        <w:pStyle w:val="ListBullet"/>
        <w:spacing w:after="80" w:line="290" w:lineRule="auto"/>
      </w:pPr>
      <w:r>
        <w:rPr>
          <w:rFonts w:ascii="Calibri" w:hAnsi="Calibri"/>
        </w:rPr>
        <w:t>Ask for missing workload, resiliency, security and performance requirements</w:t>
      </w:r>
    </w:p>
    <w:p>
      <w:pPr>
        <w:pStyle w:val="ListBullet"/>
        <w:spacing w:after="80" w:line="290" w:lineRule="auto"/>
      </w:pPr>
      <w:r>
        <w:rPr>
          <w:rFonts w:ascii="Calibri" w:hAnsi="Calibri"/>
        </w:rPr>
        <w:t>Recommend an architecture for engineer review</w:t>
      </w:r>
    </w:p>
    <w:p>
      <w:pPr>
        <w:pStyle w:val="ListBullet"/>
        <w:spacing w:after="80" w:line="290" w:lineRule="auto"/>
      </w:pPr>
      <w:r>
        <w:rPr>
          <w:rFonts w:ascii="Calibri" w:hAnsi="Calibri"/>
        </w:rPr>
        <w:t>Draft the technical solution, scope and implementation approach</w:t>
      </w:r>
    </w:p>
    <w:p>
      <w:pPr>
        <w:pStyle w:val="ListBullet"/>
        <w:spacing w:after="80" w:line="290" w:lineRule="auto"/>
      </w:pPr>
      <w:r>
        <w:rPr>
          <w:rFonts w:ascii="Calibri" w:hAnsi="Calibri"/>
        </w:rPr>
        <w:t>Produce assumptions, exclusions, risks and clarification questions</w:t>
      </w:r>
    </w:p>
    <w:p>
      <w:pPr>
        <w:pStyle w:val="ListBullet"/>
        <w:spacing w:after="80" w:line="290" w:lineRule="auto"/>
      </w:pPr>
      <w:r>
        <w:rPr>
          <w:rFonts w:ascii="Calibri" w:hAnsi="Calibri"/>
        </w:rPr>
        <w:t>Find relevant prior Sandz proposals and reference patterns</w:t>
      </w:r>
    </w:p>
    <w:p>
      <w:pPr>
        <w:pStyle w:val="ListBullet"/>
        <w:spacing w:after="80" w:line="290" w:lineRule="auto"/>
      </w:pPr>
      <w:r>
        <w:rPr>
          <w:rFonts w:ascii="Calibri" w:hAnsi="Calibri"/>
        </w:rPr>
        <w:t>Cite the approved source supporting each material technical claim</w:t>
      </w:r>
    </w:p>
    <w:p>
      <w:pPr>
        <w:spacing w:after="160" w:line="288" w:lineRule="auto"/>
      </w:pPr>
      <w:r>
        <w:rPr>
          <w:rFonts w:ascii="Calibri" w:hAnsi="Calibri"/>
          <w:b/>
        </w:rPr>
        <w:t>Control point:</w:t>
      </w:r>
      <w:r>
        <w:rPr>
          <w:rFonts w:ascii="Calibri" w:hAnsi="Calibri"/>
          <w:i w:val="0"/>
        </w:rPr>
        <w:t xml:space="preserve"> Commercial pricing, capacity sizing and final architecture remain subject to authorized sales and solution-architect approval.</w:t>
      </w:r>
    </w:p>
    <w:p>
      <w:pPr>
        <w:pStyle w:val="Heading2"/>
      </w:pPr>
      <w:r>
        <w:t>3.3 Client complaint support</w:t>
      </w:r>
    </w:p>
    <w:p>
      <w:pPr>
        <w:spacing w:after="160" w:line="288" w:lineRule="auto"/>
      </w:pPr>
      <w:r>
        <w:rPr>
          <w:rFonts w:ascii="Calibri" w:hAnsi="Calibri"/>
          <w:b/>
        </w:rPr>
        <w:t>Example support request:</w:t>
      </w:r>
      <w:r>
        <w:rPr>
          <w:rFonts w:ascii="Calibri" w:hAnsi="Calibri"/>
          <w:i w:val="0"/>
        </w:rPr>
      </w:r>
    </w:p>
    <w:p>
      <w:pPr>
        <w:spacing w:after="160" w:line="288" w:lineRule="auto"/>
      </w:pPr>
      <w:r>
        <w:rPr>
          <w:rFonts w:ascii="Calibri" w:hAnsi="Calibri"/>
          <w:i/>
        </w:rPr>
        <w:t>“The customer says object-storage uploads became slower after adding capacity. What should we investigate?”</w:t>
      </w:r>
    </w:p>
    <w:p>
      <w:pPr>
        <w:spacing w:after="160" w:line="288" w:lineRule="auto"/>
      </w:pPr>
      <w:r>
        <w:rPr>
          <w:rFonts w:ascii="Calibri" w:hAnsi="Calibri"/>
          <w:b/>
        </w:rPr>
        <w:t>kbSandbox could:</w:t>
      </w:r>
      <w:r>
        <w:rPr>
          <w:rFonts w:ascii="Calibri" w:hAnsi="Calibri"/>
          <w:i w:val="0"/>
        </w:rPr>
      </w:r>
    </w:p>
    <w:p>
      <w:pPr>
        <w:pStyle w:val="ListBullet"/>
        <w:spacing w:after="80" w:line="290" w:lineRule="auto"/>
      </w:pPr>
      <w:r>
        <w:rPr>
          <w:rFonts w:ascii="Calibri" w:hAnsi="Calibri"/>
        </w:rPr>
        <w:t>Search the administration guide, release notes and internal runbooks</w:t>
      </w:r>
    </w:p>
    <w:p>
      <w:pPr>
        <w:pStyle w:val="ListBullet"/>
        <w:spacing w:after="80" w:line="290" w:lineRule="auto"/>
      </w:pPr>
      <w:r>
        <w:rPr>
          <w:rFonts w:ascii="Calibri" w:hAnsi="Calibri"/>
        </w:rPr>
        <w:t>Generate a structured, evidence-linked diagnostic checklist</w:t>
      </w:r>
    </w:p>
    <w:p>
      <w:pPr>
        <w:pStyle w:val="ListBullet"/>
        <w:spacing w:after="80" w:line="290" w:lineRule="auto"/>
      </w:pPr>
      <w:r>
        <w:rPr>
          <w:rFonts w:ascii="Calibri" w:hAnsi="Calibri"/>
        </w:rPr>
        <w:t>Identify relevant capacity, controller, network and performance observations</w:t>
      </w:r>
    </w:p>
    <w:p>
      <w:pPr>
        <w:pStyle w:val="ListBullet"/>
        <w:spacing w:after="80" w:line="290" w:lineRule="auto"/>
      </w:pPr>
      <w:r>
        <w:rPr>
          <w:rFonts w:ascii="Calibri" w:hAnsi="Calibri"/>
        </w:rPr>
        <w:t>Find similar resolved cases and note whether conditions truly match</w:t>
      </w:r>
    </w:p>
    <w:p>
      <w:pPr>
        <w:pStyle w:val="ListBullet"/>
        <w:spacing w:after="80" w:line="290" w:lineRule="auto"/>
      </w:pPr>
      <w:r>
        <w:rPr>
          <w:rFonts w:ascii="Calibri" w:hAnsi="Calibri"/>
        </w:rPr>
        <w:t>Draft an internal investigation note and a customer-safe response</w:t>
      </w:r>
    </w:p>
    <w:p>
      <w:pPr>
        <w:pStyle w:val="ListBullet"/>
        <w:spacing w:after="80" w:line="290" w:lineRule="auto"/>
      </w:pPr>
      <w:r>
        <w:rPr>
          <w:rFonts w:ascii="Calibri" w:hAnsi="Calibri"/>
        </w:rPr>
        <w:t>Recommend when to escalate and what evidence to supply to Zadara</w:t>
      </w:r>
    </w:p>
    <w:p>
      <w:pPr>
        <w:spacing w:after="160" w:line="288" w:lineRule="auto"/>
      </w:pPr>
      <w:r>
        <w:rPr>
          <w:rFonts w:ascii="Calibri" w:hAnsi="Calibri"/>
          <w:b/>
        </w:rPr>
        <w:t>During Phase 1,</w:t>
      </w:r>
      <w:r>
        <w:rPr>
          <w:rFonts w:ascii="Calibri" w:hAnsi="Calibri"/>
          <w:i w:val="0"/>
        </w:rPr>
        <w:t xml:space="preserve"> employees paste symptoms or upload approved logs. A later phase may use read-only APIs to retrieve selected health information automatically.</w:t>
      </w:r>
    </w:p>
    <w:p>
      <w:pPr>
        <w:pStyle w:val="Heading1"/>
      </w:pPr>
      <w:r>
        <w:t>4. User Experience and Answer Standard</w:t>
      </w:r>
    </w:p>
    <w:p>
      <w:pPr>
        <w:spacing w:after="160" w:line="288" w:lineRule="auto"/>
      </w:pPr>
      <w:r>
        <w:rPr>
          <w:rFonts w:ascii="Calibri" w:hAnsi="Calibri"/>
          <w:i w:val="0"/>
        </w:rPr>
        <w:t>The experience should resemble a conversation with a careful Sandz solution architect, not an unrestricted general-purpose chatbot. A useful answer includes the conclusion, supporting evidence, relevant version or customer scope, assumptions, missing inputs and the required reviewer.</w:t>
      </w:r>
    </w:p>
    <w:tbl>
      <w:tblPr>
        <w:tblW w:type="dxa" w:w="9360"/>
        <w:jc w:val="left"/>
        <w:tblLayout w:type="fixed"/>
        <w:tblLook w:firstColumn="1" w:firstRow="1" w:lastColumn="0" w:lastRow="0" w:noHBand="0" w:noVBand="1" w:val="04A0"/>
        <w:tblInd w:w="120" w:type="dxa"/>
      </w:tblPr>
      <w:tblGrid>
        <w:gridCol w:w="1800"/>
        <w:gridCol w:w="5260"/>
        <w:gridCol w:w="2300"/>
      </w:tblGrid>
      <w:tr>
        <w:trPr>
          <w:tblHeader w:val="true"/>
        </w:trPr>
        <w:tc>
          <w:tcPr>
            <w:tcW w:type="dxa" w:w="1800"/>
            <w:shd w:fill="17365D"/>
            <w:tcMar>
              <w:top w:w="100" w:type="dxa"/>
              <w:start w:w="120" w:type="dxa"/>
              <w:bottom w:w="100" w:type="dxa"/>
              <w:end w:w="120" w:type="dxa"/>
            </w:tcMar>
          </w:tcPr>
          <w:p>
            <w:pPr>
              <w:keepLines/>
              <w:spacing w:after="60"/>
            </w:pPr>
            <w:r>
              <w:rPr>
                <w:rFonts w:ascii="Calibri" w:hAnsi="Calibri"/>
                <w:b/>
                <w:color w:val="FFFFFF"/>
              </w:rPr>
              <w:t>Answer class</w:t>
            </w:r>
          </w:p>
        </w:tc>
        <w:tc>
          <w:tcPr>
            <w:tcW w:type="dxa" w:w="5260"/>
            <w:shd w:fill="17365D"/>
            <w:tcMar>
              <w:top w:w="100" w:type="dxa"/>
              <w:start w:w="120" w:type="dxa"/>
              <w:bottom w:w="100" w:type="dxa"/>
              <w:end w:w="120" w:type="dxa"/>
            </w:tcMar>
          </w:tcPr>
          <w:p>
            <w:pPr>
              <w:keepLines/>
              <w:spacing w:after="60"/>
            </w:pPr>
            <w:r>
              <w:rPr>
                <w:rFonts w:ascii="Calibri" w:hAnsi="Calibri"/>
                <w:b/>
                <w:color w:val="FFFFFF"/>
              </w:rPr>
              <w:t>Expected behaviour</w:t>
            </w:r>
          </w:p>
        </w:tc>
        <w:tc>
          <w:tcPr>
            <w:tcW w:type="dxa" w:w="2300"/>
            <w:shd w:fill="17365D"/>
            <w:tcMar>
              <w:top w:w="100" w:type="dxa"/>
              <w:start w:w="120" w:type="dxa"/>
              <w:bottom w:w="100" w:type="dxa"/>
              <w:end w:w="120" w:type="dxa"/>
            </w:tcMar>
          </w:tcPr>
          <w:p>
            <w:pPr>
              <w:keepLines/>
              <w:spacing w:after="60"/>
            </w:pPr>
            <w:r>
              <w:rPr>
                <w:rFonts w:ascii="Calibri" w:hAnsi="Calibri"/>
                <w:b/>
                <w:color w:val="FFFFFF"/>
              </w:rPr>
              <w:t>Example label</w:t>
            </w:r>
          </w:p>
        </w:tc>
      </w:tr>
      <w:tr>
        <w:tc>
          <w:tcPr>
            <w:tcW w:type="dxa" w:w="1800"/>
            <w:tcMar>
              <w:top w:w="100" w:type="dxa"/>
              <w:start w:w="120" w:type="dxa"/>
              <w:bottom w:w="100" w:type="dxa"/>
              <w:end w:w="120" w:type="dxa"/>
            </w:tcMar>
          </w:tcPr>
          <w:p>
            <w:pPr>
              <w:keepLines/>
              <w:spacing w:after="60"/>
            </w:pPr>
            <w:r>
              <w:rPr>
                <w:rFonts w:ascii="Calibri" w:hAnsi="Calibri"/>
              </w:rPr>
              <w:t>Documented fact</w:t>
            </w:r>
          </w:p>
        </w:tc>
        <w:tc>
          <w:tcPr>
            <w:tcW w:type="dxa" w:w="5260"/>
            <w:tcMar>
              <w:top w:w="100" w:type="dxa"/>
              <w:start w:w="120" w:type="dxa"/>
              <w:bottom w:w="100" w:type="dxa"/>
              <w:end w:w="120" w:type="dxa"/>
            </w:tcMar>
          </w:tcPr>
          <w:p>
            <w:pPr>
              <w:keepLines/>
              <w:spacing w:after="60"/>
            </w:pPr>
            <w:r>
              <w:rPr>
                <w:rFonts w:ascii="Calibri" w:hAnsi="Calibri"/>
              </w:rPr>
              <w:t>Directly supported by an approved source; include citation and applicable version.</w:t>
            </w:r>
          </w:p>
        </w:tc>
        <w:tc>
          <w:tcPr>
            <w:tcW w:type="dxa" w:w="2300"/>
            <w:tcMar>
              <w:top w:w="100" w:type="dxa"/>
              <w:start w:w="120" w:type="dxa"/>
              <w:bottom w:w="100" w:type="dxa"/>
              <w:end w:w="120" w:type="dxa"/>
            </w:tcMar>
          </w:tcPr>
          <w:p>
            <w:pPr>
              <w:keepLines/>
              <w:spacing w:after="60"/>
            </w:pPr>
            <w:r>
              <w:rPr>
                <w:rFonts w:ascii="Calibri" w:hAnsi="Calibri"/>
              </w:rPr>
              <w:t>Documented</w:t>
            </w:r>
          </w:p>
        </w:tc>
      </w:tr>
      <w:tr>
        <w:tc>
          <w:tcPr>
            <w:tcW w:type="dxa" w:w="1800"/>
            <w:tcMar>
              <w:top w:w="100" w:type="dxa"/>
              <w:start w:w="120" w:type="dxa"/>
              <w:bottom w:w="100" w:type="dxa"/>
              <w:end w:w="120" w:type="dxa"/>
            </w:tcMar>
          </w:tcPr>
          <w:p>
            <w:pPr>
              <w:keepLines/>
              <w:spacing w:after="60"/>
            </w:pPr>
            <w:r>
              <w:rPr>
                <w:rFonts w:ascii="Calibri" w:hAnsi="Calibri"/>
              </w:rPr>
              <w:t>Reasoned recommendation</w:t>
            </w:r>
          </w:p>
        </w:tc>
        <w:tc>
          <w:tcPr>
            <w:tcW w:type="dxa" w:w="5260"/>
            <w:tcMar>
              <w:top w:w="100" w:type="dxa"/>
              <w:start w:w="120" w:type="dxa"/>
              <w:bottom w:w="100" w:type="dxa"/>
              <w:end w:w="120" w:type="dxa"/>
            </w:tcMar>
          </w:tcPr>
          <w:p>
            <w:pPr>
              <w:keepLines/>
              <w:spacing w:after="60"/>
            </w:pPr>
            <w:r>
              <w:rPr>
                <w:rFonts w:ascii="Calibri" w:hAnsi="Calibri"/>
              </w:rPr>
              <w:t>Derived from facts and stated requirements; expose assumptions and require professional review.</w:t>
            </w:r>
          </w:p>
        </w:tc>
        <w:tc>
          <w:tcPr>
            <w:tcW w:type="dxa" w:w="2300"/>
            <w:tcMar>
              <w:top w:w="100" w:type="dxa"/>
              <w:start w:w="120" w:type="dxa"/>
              <w:bottom w:w="100" w:type="dxa"/>
              <w:end w:w="120" w:type="dxa"/>
            </w:tcMar>
          </w:tcPr>
          <w:p>
            <w:pPr>
              <w:keepLines/>
              <w:spacing w:after="60"/>
            </w:pPr>
            <w:r>
              <w:rPr>
                <w:rFonts w:ascii="Calibri" w:hAnsi="Calibri"/>
              </w:rPr>
              <w:t>Recommendation</w:t>
            </w:r>
          </w:p>
        </w:tc>
      </w:tr>
      <w:tr>
        <w:tc>
          <w:tcPr>
            <w:tcW w:type="dxa" w:w="1800"/>
            <w:tcMar>
              <w:top w:w="100" w:type="dxa"/>
              <w:start w:w="120" w:type="dxa"/>
              <w:bottom w:w="100" w:type="dxa"/>
              <w:end w:w="120" w:type="dxa"/>
            </w:tcMar>
          </w:tcPr>
          <w:p>
            <w:pPr>
              <w:keepLines/>
              <w:spacing w:after="60"/>
            </w:pPr>
            <w:r>
              <w:rPr>
                <w:rFonts w:ascii="Calibri" w:hAnsi="Calibri"/>
              </w:rPr>
              <w:t>Missing information</w:t>
            </w:r>
          </w:p>
        </w:tc>
        <w:tc>
          <w:tcPr>
            <w:tcW w:type="dxa" w:w="5260"/>
            <w:tcMar>
              <w:top w:w="100" w:type="dxa"/>
              <w:start w:w="120" w:type="dxa"/>
              <w:bottom w:w="100" w:type="dxa"/>
              <w:end w:w="120" w:type="dxa"/>
            </w:tcMar>
          </w:tcPr>
          <w:p>
            <w:pPr>
              <w:keepLines/>
              <w:spacing w:after="60"/>
            </w:pPr>
            <w:r>
              <w:rPr>
                <w:rFonts w:ascii="Calibri" w:hAnsi="Calibri"/>
              </w:rPr>
              <w:t>Do not guess; ask a targeted question or recommend escalation.</w:t>
            </w:r>
          </w:p>
        </w:tc>
        <w:tc>
          <w:tcPr>
            <w:tcW w:type="dxa" w:w="2300"/>
            <w:tcMar>
              <w:top w:w="100" w:type="dxa"/>
              <w:start w:w="120" w:type="dxa"/>
              <w:bottom w:w="100" w:type="dxa"/>
              <w:end w:w="120" w:type="dxa"/>
            </w:tcMar>
          </w:tcPr>
          <w:p>
            <w:pPr>
              <w:keepLines/>
              <w:spacing w:after="60"/>
            </w:pPr>
            <w:r>
              <w:rPr>
                <w:rFonts w:ascii="Calibri" w:hAnsi="Calibri"/>
              </w:rPr>
              <w:t>Information required</w:t>
            </w:r>
          </w:p>
        </w:tc>
      </w:tr>
    </w:tbl>
    <w:p>
      <w:pPr>
        <w:pStyle w:val="Heading1"/>
      </w:pPr>
      <w:r>
        <w:t>5. Proposed Solution Architecture</w:t>
      </w:r>
    </w:p>
    <w:p>
      <w:pPr>
        <w:spacing w:after="160" w:line="288" w:lineRule="auto"/>
      </w:pPr>
      <w:r>
        <w:rPr>
          <w:rFonts w:ascii="Calibri" w:hAnsi="Calibri"/>
          <w:i w:val="0"/>
        </w:rPr>
        <w:t>Phase 1 uses kbSandbox’s ingestion, curation, retrieval and chat capabilities. Content remains separated by collection and access policy, and each response is grounded only in sources available to the authenticated employee.</w:t>
      </w:r>
    </w:p>
    <w:p>
      <w:pPr>
        <w:pStyle w:val="ListNumber"/>
        <w:spacing w:after="100" w:line="290" w:lineRule="auto"/>
      </w:pPr>
      <w:r>
        <w:rPr>
          <w:rFonts w:ascii="Calibri" w:hAnsi="Calibri"/>
        </w:rPr>
        <w:t>Approved sources are collected, classified and assigned owners, confidentiality levels and effective versions.</w:t>
      </w:r>
    </w:p>
    <w:p>
      <w:pPr>
        <w:pStyle w:val="ListNumber"/>
        <w:spacing w:after="100" w:line="290" w:lineRule="auto"/>
      </w:pPr>
      <w:r>
        <w:rPr>
          <w:rFonts w:ascii="Calibri" w:hAnsi="Calibri"/>
        </w:rPr>
        <w:t>kbSandbox ingests and indexes the content while retaining source identity and traceability.</w:t>
      </w:r>
    </w:p>
    <w:p>
      <w:pPr>
        <w:pStyle w:val="ListNumber"/>
        <w:spacing w:after="100" w:line="290" w:lineRule="auto"/>
      </w:pPr>
      <w:r>
        <w:rPr>
          <w:rFonts w:ascii="Calibri" w:hAnsi="Calibri"/>
        </w:rPr>
        <w:t>The employee asks a question or requests a draft through the chat interface.</w:t>
      </w:r>
    </w:p>
    <w:p>
      <w:pPr>
        <w:pStyle w:val="ListNumber"/>
        <w:spacing w:after="100" w:line="290" w:lineRule="auto"/>
      </w:pPr>
      <w:r>
        <w:rPr>
          <w:rFonts w:ascii="Calibri" w:hAnsi="Calibri"/>
        </w:rPr>
        <w:t>Retrieval selects relevant passages within the employee’s permitted scope.</w:t>
      </w:r>
    </w:p>
    <w:p>
      <w:pPr>
        <w:pStyle w:val="ListNumber"/>
        <w:spacing w:after="100" w:line="290" w:lineRule="auto"/>
      </w:pPr>
      <w:r>
        <w:rPr>
          <w:rFonts w:ascii="Calibri" w:hAnsi="Calibri"/>
        </w:rPr>
        <w:t>The model produces a cited answer, identifies assumptions and requests missing inputs.</w:t>
      </w:r>
    </w:p>
    <w:p>
      <w:pPr>
        <w:pStyle w:val="ListNumber"/>
        <w:spacing w:after="100" w:line="290" w:lineRule="auto"/>
      </w:pPr>
      <w:r>
        <w:rPr>
          <w:rFonts w:ascii="Calibri" w:hAnsi="Calibri"/>
        </w:rPr>
        <w:t>A Sandz professional reviews any proposal, sizing decision or customer response before external use.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EF3F8"/>
          </w:tcPr>
          <w:p>
            <w:pPr>
              <w:keepLines/>
              <w:spacing w:after="60"/>
            </w:pPr>
            <w:r>
              <w:rPr>
                <w:rFonts w:ascii="Calibri" w:hAnsi="Calibri"/>
                <w:b/>
                <w:color w:val="2E74B5"/>
                <w:sz w:val="18"/>
              </w:rPr>
              <w:t>FUTURE EXTENSION</w:t>
            </w:r>
          </w:p>
          <w:p>
            <w:pPr>
              <w:keepLines/>
              <w:spacing w:after="60" w:line="276" w:lineRule="auto"/>
            </w:pPr>
            <w:r>
              <w:rPr>
                <w:rFonts w:ascii="Calibri" w:hAnsi="Calibri"/>
                <w:b/>
                <w:color w:val="17365D"/>
                <w:sz w:val="22"/>
              </w:rPr>
              <w:t>An optional MCP or service layer can later expose narrow, governed tools over Zadara’s existing REST APIs. MCP would not replace those APIs; it would provide AI-friendly operations, tenant policy, validation, approval and audit controls.</w:t>
            </w:r>
          </w:p>
        </w:tc>
      </w:tr>
    </w:tbl>
    <w:p>
      <w:pPr>
        <w:spacing w:after="40"/>
      </w:pPr>
    </w:p>
    <w:p>
      <w:pPr>
        <w:pStyle w:val="Heading1"/>
      </w:pPr>
      <w:r>
        <w:t>6. Content Governance and Security</w:t>
      </w:r>
    </w:p>
    <w:p>
      <w:pPr>
        <w:pStyle w:val="ListBullet"/>
        <w:spacing w:after="80" w:line="290" w:lineRule="auto"/>
      </w:pPr>
      <w:r>
        <w:rPr>
          <w:rFonts w:ascii="Calibri" w:hAnsi="Calibri"/>
        </w:rPr>
        <w:t>Obtain written permission or confirm applicable licence rights before ingesting non-public Zadara materials.</w:t>
      </w:r>
    </w:p>
    <w:p>
      <w:pPr>
        <w:pStyle w:val="ListBullet"/>
        <w:spacing w:after="80" w:line="290" w:lineRule="auto"/>
      </w:pPr>
      <w:r>
        <w:rPr>
          <w:rFonts w:ascii="Calibri" w:hAnsi="Calibri"/>
        </w:rPr>
        <w:t>Separate public vendor content, Sandz confidential content and customer-specific content.</w:t>
      </w:r>
    </w:p>
    <w:p>
      <w:pPr>
        <w:pStyle w:val="ListBullet"/>
        <w:spacing w:after="80" w:line="290" w:lineRule="auto"/>
      </w:pPr>
      <w:r>
        <w:rPr>
          <w:rFonts w:ascii="Calibri" w:hAnsi="Calibri"/>
        </w:rPr>
        <w:t>Enforce least-privilege access at retrieval time; never rely solely on prompt instructions.</w:t>
      </w:r>
    </w:p>
    <w:p>
      <w:pPr>
        <w:pStyle w:val="ListBullet"/>
        <w:spacing w:after="80" w:line="290" w:lineRule="auto"/>
      </w:pPr>
      <w:r>
        <w:rPr>
          <w:rFonts w:ascii="Calibri" w:hAnsi="Calibri"/>
        </w:rPr>
        <w:t>Exclude passwords, API secrets and unnecessary personal information from the knowledge corpus.</w:t>
      </w:r>
    </w:p>
    <w:p>
      <w:pPr>
        <w:pStyle w:val="ListBullet"/>
        <w:spacing w:after="80" w:line="290" w:lineRule="auto"/>
      </w:pPr>
      <w:r>
        <w:rPr>
          <w:rFonts w:ascii="Calibri" w:hAnsi="Calibri"/>
        </w:rPr>
        <w:t>Record source, version, owner, ingestion date and review status for controlled material.</w:t>
      </w:r>
    </w:p>
    <w:p>
      <w:pPr>
        <w:pStyle w:val="ListBullet"/>
        <w:spacing w:after="80" w:line="290" w:lineRule="auto"/>
      </w:pPr>
      <w:r>
        <w:rPr>
          <w:rFonts w:ascii="Calibri" w:hAnsi="Calibri"/>
        </w:rPr>
        <w:t>Provide answer citations and log user questions, retrieved sources and generated outputs for audit.</w:t>
      </w:r>
    </w:p>
    <w:p>
      <w:pPr>
        <w:pStyle w:val="ListBullet"/>
        <w:spacing w:after="80" w:line="290" w:lineRule="auto"/>
      </w:pPr>
      <w:r>
        <w:rPr>
          <w:rFonts w:ascii="Calibri" w:hAnsi="Calibri"/>
        </w:rPr>
        <w:t>Define retention, deletion and customer offboarding procedures before adding client information.</w:t>
      </w:r>
    </w:p>
    <w:p>
      <w:pPr>
        <w:pStyle w:val="ListBullet"/>
        <w:spacing w:after="80" w:line="290" w:lineRule="auto"/>
      </w:pPr>
      <w:r>
        <w:rPr>
          <w:rFonts w:ascii="Calibri" w:hAnsi="Calibri"/>
        </w:rPr>
        <w:t>Test for unsupported claims, cross-client leakage, malicious document instructions and stale guidance.</w:t>
      </w:r>
    </w:p>
    <w:p>
      <w:pPr>
        <w:pStyle w:val="Heading1"/>
      </w:pPr>
      <w:r>
        <w:t>7. Four-Week Pilot Plan</w:t>
      </w:r>
    </w:p>
    <w:tbl>
      <w:tblPr>
        <w:tblW w:type="dxa" w:w="9360"/>
        <w:jc w:val="left"/>
        <w:tblLayout w:type="fixed"/>
        <w:tblLook w:firstColumn="1" w:firstRow="1" w:lastColumn="0" w:lastRow="0" w:noHBand="0" w:noVBand="1" w:val="04A0"/>
        <w:tblInd w:w="120" w:type="dxa"/>
      </w:tblPr>
      <w:tblGrid>
        <w:gridCol w:w="720"/>
        <w:gridCol w:w="1500"/>
        <w:gridCol w:w="4380"/>
        <w:gridCol w:w="2760"/>
      </w:tblGrid>
      <w:tr>
        <w:trPr>
          <w:tblHeader w:val="true"/>
        </w:trPr>
        <w:tc>
          <w:tcPr>
            <w:tcW w:type="dxa" w:w="720"/>
            <w:shd w:fill="17365D"/>
            <w:tcMar>
              <w:top w:w="100" w:type="dxa"/>
              <w:start w:w="120" w:type="dxa"/>
              <w:bottom w:w="100" w:type="dxa"/>
              <w:end w:w="120" w:type="dxa"/>
            </w:tcMar>
          </w:tcPr>
          <w:p>
            <w:pPr>
              <w:keepLines/>
              <w:spacing w:after="60"/>
            </w:pPr>
            <w:r>
              <w:rPr>
                <w:rFonts w:ascii="Calibri" w:hAnsi="Calibri"/>
                <w:b/>
                <w:color w:val="FFFFFF"/>
              </w:rPr>
              <w:t>Week</w:t>
            </w:r>
          </w:p>
        </w:tc>
        <w:tc>
          <w:tcPr>
            <w:tcW w:type="dxa" w:w="1500"/>
            <w:shd w:fill="17365D"/>
            <w:tcMar>
              <w:top w:w="100" w:type="dxa"/>
              <w:start w:w="120" w:type="dxa"/>
              <w:bottom w:w="100" w:type="dxa"/>
              <w:end w:w="120" w:type="dxa"/>
            </w:tcMar>
          </w:tcPr>
          <w:p>
            <w:pPr>
              <w:keepLines/>
              <w:spacing w:after="60"/>
            </w:pPr>
            <w:r>
              <w:rPr>
                <w:rFonts w:ascii="Calibri" w:hAnsi="Calibri"/>
                <w:b/>
                <w:color w:val="FFFFFF"/>
              </w:rPr>
              <w:t>Focus</w:t>
            </w:r>
          </w:p>
        </w:tc>
        <w:tc>
          <w:tcPr>
            <w:tcW w:type="dxa" w:w="4380"/>
            <w:shd w:fill="17365D"/>
            <w:tcMar>
              <w:top w:w="100" w:type="dxa"/>
              <w:start w:w="120" w:type="dxa"/>
              <w:bottom w:w="100" w:type="dxa"/>
              <w:end w:w="120" w:type="dxa"/>
            </w:tcMar>
          </w:tcPr>
          <w:p>
            <w:pPr>
              <w:keepLines/>
              <w:spacing w:after="60"/>
            </w:pPr>
            <w:r>
              <w:rPr>
                <w:rFonts w:ascii="Calibri" w:hAnsi="Calibri"/>
                <w:b/>
                <w:color w:val="FFFFFF"/>
              </w:rPr>
              <w:t>Key activities</w:t>
            </w:r>
          </w:p>
        </w:tc>
        <w:tc>
          <w:tcPr>
            <w:tcW w:type="dxa" w:w="2760"/>
            <w:shd w:fill="17365D"/>
            <w:tcMar>
              <w:top w:w="100" w:type="dxa"/>
              <w:start w:w="120" w:type="dxa"/>
              <w:bottom w:w="100" w:type="dxa"/>
              <w:end w:w="120" w:type="dxa"/>
            </w:tcMar>
          </w:tcPr>
          <w:p>
            <w:pPr>
              <w:keepLines/>
              <w:spacing w:after="60"/>
            </w:pPr>
            <w:r>
              <w:rPr>
                <w:rFonts w:ascii="Calibri" w:hAnsi="Calibri"/>
                <w:b/>
                <w:color w:val="FFFFFF"/>
              </w:rPr>
              <w:t>Exit evidence</w:t>
            </w:r>
          </w:p>
        </w:tc>
      </w:tr>
      <w:tr>
        <w:tc>
          <w:tcPr>
            <w:tcW w:type="dxa" w:w="720"/>
            <w:tcMar>
              <w:top w:w="100" w:type="dxa"/>
              <w:start w:w="120" w:type="dxa"/>
              <w:bottom w:w="100" w:type="dxa"/>
              <w:end w:w="120" w:type="dxa"/>
            </w:tcMar>
          </w:tcPr>
          <w:p>
            <w:pPr>
              <w:keepLines/>
              <w:spacing w:after="60"/>
            </w:pPr>
            <w:r>
              <w:rPr>
                <w:rFonts w:ascii="Calibri" w:hAnsi="Calibri"/>
                <w:sz w:val="19"/>
              </w:rPr>
              <w:t>1</w:t>
            </w:r>
          </w:p>
        </w:tc>
        <w:tc>
          <w:tcPr>
            <w:tcW w:type="dxa" w:w="1500"/>
            <w:tcMar>
              <w:top w:w="100" w:type="dxa"/>
              <w:start w:w="120" w:type="dxa"/>
              <w:bottom w:w="100" w:type="dxa"/>
              <w:end w:w="120" w:type="dxa"/>
            </w:tcMar>
          </w:tcPr>
          <w:p>
            <w:pPr>
              <w:keepLines/>
              <w:spacing w:after="60"/>
            </w:pPr>
            <w:r>
              <w:rPr>
                <w:rFonts w:ascii="Calibri" w:hAnsi="Calibri"/>
                <w:sz w:val="19"/>
              </w:rPr>
              <w:t>Scope and governance</w:t>
            </w:r>
          </w:p>
        </w:tc>
        <w:tc>
          <w:tcPr>
            <w:tcW w:type="dxa" w:w="4380"/>
            <w:tcMar>
              <w:top w:w="100" w:type="dxa"/>
              <w:start w:w="120" w:type="dxa"/>
              <w:bottom w:w="100" w:type="dxa"/>
              <w:end w:w="120" w:type="dxa"/>
            </w:tcMar>
          </w:tcPr>
          <w:p>
            <w:pPr>
              <w:keepLines/>
              <w:spacing w:after="60"/>
            </w:pPr>
            <w:r>
              <w:rPr>
                <w:rFonts w:ascii="Calibri" w:hAnsi="Calibri"/>
                <w:sz w:val="19"/>
              </w:rPr>
              <w:t>Select users and documents; define access, answer standard, baseline tasks and success measures.</w:t>
            </w:r>
          </w:p>
        </w:tc>
        <w:tc>
          <w:tcPr>
            <w:tcW w:type="dxa" w:w="2760"/>
            <w:tcMar>
              <w:top w:w="100" w:type="dxa"/>
              <w:start w:w="120" w:type="dxa"/>
              <w:bottom w:w="100" w:type="dxa"/>
              <w:end w:w="120" w:type="dxa"/>
            </w:tcMar>
          </w:tcPr>
          <w:p>
            <w:pPr>
              <w:keepLines/>
              <w:spacing w:after="60"/>
            </w:pPr>
            <w:r>
              <w:rPr>
                <w:rFonts w:ascii="Calibri" w:hAnsi="Calibri"/>
                <w:sz w:val="19"/>
              </w:rPr>
              <w:t>Approved corpus and test set</w:t>
            </w:r>
          </w:p>
        </w:tc>
      </w:tr>
      <w:tr>
        <w:tc>
          <w:tcPr>
            <w:tcW w:type="dxa" w:w="720"/>
            <w:tcMar>
              <w:top w:w="100" w:type="dxa"/>
              <w:start w:w="120" w:type="dxa"/>
              <w:bottom w:w="100" w:type="dxa"/>
              <w:end w:w="120" w:type="dxa"/>
            </w:tcMar>
          </w:tcPr>
          <w:p>
            <w:pPr>
              <w:keepLines/>
              <w:spacing w:after="60"/>
            </w:pPr>
            <w:r>
              <w:rPr>
                <w:rFonts w:ascii="Calibri" w:hAnsi="Calibri"/>
                <w:sz w:val="19"/>
              </w:rPr>
              <w:t>2</w:t>
            </w:r>
          </w:p>
        </w:tc>
        <w:tc>
          <w:tcPr>
            <w:tcW w:type="dxa" w:w="1500"/>
            <w:tcMar>
              <w:top w:w="100" w:type="dxa"/>
              <w:start w:w="120" w:type="dxa"/>
              <w:bottom w:w="100" w:type="dxa"/>
              <w:end w:w="120" w:type="dxa"/>
            </w:tcMar>
          </w:tcPr>
          <w:p>
            <w:pPr>
              <w:keepLines/>
              <w:spacing w:after="60"/>
            </w:pPr>
            <w:r>
              <w:rPr>
                <w:rFonts w:ascii="Calibri" w:hAnsi="Calibri"/>
                <w:sz w:val="19"/>
              </w:rPr>
              <w:t>Knowledge build</w:t>
            </w:r>
          </w:p>
        </w:tc>
        <w:tc>
          <w:tcPr>
            <w:tcW w:type="dxa" w:w="4380"/>
            <w:tcMar>
              <w:top w:w="100" w:type="dxa"/>
              <w:start w:w="120" w:type="dxa"/>
              <w:bottom w:w="100" w:type="dxa"/>
              <w:end w:w="120" w:type="dxa"/>
            </w:tcMar>
          </w:tcPr>
          <w:p>
            <w:pPr>
              <w:keepLines/>
              <w:spacing w:after="60"/>
            </w:pPr>
            <w:r>
              <w:rPr>
                <w:rFonts w:ascii="Calibri" w:hAnsi="Calibri"/>
                <w:sz w:val="19"/>
              </w:rPr>
              <w:t>Ingest, curate and validate Zadara and Sandz content; configure citations and permissions.</w:t>
            </w:r>
          </w:p>
        </w:tc>
        <w:tc>
          <w:tcPr>
            <w:tcW w:type="dxa" w:w="2760"/>
            <w:tcMar>
              <w:top w:w="100" w:type="dxa"/>
              <w:start w:w="120" w:type="dxa"/>
              <w:bottom w:w="100" w:type="dxa"/>
              <w:end w:w="120" w:type="dxa"/>
            </w:tcMar>
          </w:tcPr>
          <w:p>
            <w:pPr>
              <w:keepLines/>
              <w:spacing w:after="60"/>
            </w:pPr>
            <w:r>
              <w:rPr>
                <w:rFonts w:ascii="Calibri" w:hAnsi="Calibri"/>
                <w:sz w:val="19"/>
              </w:rPr>
              <w:t>Search and citation acceptance</w:t>
            </w:r>
          </w:p>
        </w:tc>
      </w:tr>
      <w:tr>
        <w:tc>
          <w:tcPr>
            <w:tcW w:type="dxa" w:w="720"/>
            <w:tcMar>
              <w:top w:w="100" w:type="dxa"/>
              <w:start w:w="120" w:type="dxa"/>
              <w:bottom w:w="100" w:type="dxa"/>
              <w:end w:w="120" w:type="dxa"/>
            </w:tcMar>
          </w:tcPr>
          <w:p>
            <w:pPr>
              <w:keepLines/>
              <w:spacing w:after="60"/>
            </w:pPr>
            <w:r>
              <w:rPr>
                <w:rFonts w:ascii="Calibri" w:hAnsi="Calibri"/>
                <w:sz w:val="19"/>
              </w:rPr>
              <w:t>3</w:t>
            </w:r>
          </w:p>
        </w:tc>
        <w:tc>
          <w:tcPr>
            <w:tcW w:type="dxa" w:w="1500"/>
            <w:tcMar>
              <w:top w:w="100" w:type="dxa"/>
              <w:start w:w="120" w:type="dxa"/>
              <w:bottom w:w="100" w:type="dxa"/>
              <w:end w:w="120" w:type="dxa"/>
            </w:tcMar>
          </w:tcPr>
          <w:p>
            <w:pPr>
              <w:keepLines/>
              <w:spacing w:after="60"/>
            </w:pPr>
            <w:r>
              <w:rPr>
                <w:rFonts w:ascii="Calibri" w:hAnsi="Calibri"/>
                <w:sz w:val="19"/>
              </w:rPr>
              <w:t>Workflow trials</w:t>
            </w:r>
          </w:p>
        </w:tc>
        <w:tc>
          <w:tcPr>
            <w:tcW w:type="dxa" w:w="4380"/>
            <w:tcMar>
              <w:top w:w="100" w:type="dxa"/>
              <w:start w:w="120" w:type="dxa"/>
              <w:bottom w:w="100" w:type="dxa"/>
              <w:end w:w="120" w:type="dxa"/>
            </w:tcMar>
          </w:tcPr>
          <w:p>
            <w:pPr>
              <w:keepLines/>
              <w:spacing w:after="60"/>
            </w:pPr>
            <w:r>
              <w:rPr>
                <w:rFonts w:ascii="Calibri" w:hAnsi="Calibri"/>
                <w:sz w:val="19"/>
              </w:rPr>
              <w:t>Run proposal and complaint scenarios with sales, architects and support staff.</w:t>
            </w:r>
          </w:p>
        </w:tc>
        <w:tc>
          <w:tcPr>
            <w:tcW w:type="dxa" w:w="2760"/>
            <w:tcMar>
              <w:top w:w="100" w:type="dxa"/>
              <w:start w:w="120" w:type="dxa"/>
              <w:bottom w:w="100" w:type="dxa"/>
              <w:end w:w="120" w:type="dxa"/>
            </w:tcMar>
          </w:tcPr>
          <w:p>
            <w:pPr>
              <w:keepLines/>
              <w:spacing w:after="60"/>
            </w:pPr>
            <w:r>
              <w:rPr>
                <w:rFonts w:ascii="Calibri" w:hAnsi="Calibri"/>
                <w:sz w:val="19"/>
              </w:rPr>
              <w:t>Measured task results and feedback</w:t>
            </w:r>
          </w:p>
        </w:tc>
      </w:tr>
      <w:tr>
        <w:tc>
          <w:tcPr>
            <w:tcW w:type="dxa" w:w="720"/>
            <w:tcMar>
              <w:top w:w="100" w:type="dxa"/>
              <w:start w:w="120" w:type="dxa"/>
              <w:bottom w:w="100" w:type="dxa"/>
              <w:end w:w="120" w:type="dxa"/>
            </w:tcMar>
          </w:tcPr>
          <w:p>
            <w:pPr>
              <w:keepLines/>
              <w:spacing w:after="60"/>
            </w:pPr>
            <w:r>
              <w:rPr>
                <w:rFonts w:ascii="Calibri" w:hAnsi="Calibri"/>
                <w:sz w:val="19"/>
              </w:rPr>
              <w:t>4</w:t>
            </w:r>
          </w:p>
        </w:tc>
        <w:tc>
          <w:tcPr>
            <w:tcW w:type="dxa" w:w="1500"/>
            <w:tcMar>
              <w:top w:w="100" w:type="dxa"/>
              <w:start w:w="120" w:type="dxa"/>
              <w:bottom w:w="100" w:type="dxa"/>
              <w:end w:w="120" w:type="dxa"/>
            </w:tcMar>
          </w:tcPr>
          <w:p>
            <w:pPr>
              <w:keepLines/>
              <w:spacing w:after="60"/>
            </w:pPr>
            <w:r>
              <w:rPr>
                <w:rFonts w:ascii="Calibri" w:hAnsi="Calibri"/>
                <w:sz w:val="19"/>
              </w:rPr>
              <w:t>Evaluation</w:t>
            </w:r>
          </w:p>
        </w:tc>
        <w:tc>
          <w:tcPr>
            <w:tcW w:type="dxa" w:w="4380"/>
            <w:tcMar>
              <w:top w:w="100" w:type="dxa"/>
              <w:start w:w="120" w:type="dxa"/>
              <w:bottom w:w="100" w:type="dxa"/>
              <w:end w:w="120" w:type="dxa"/>
            </w:tcMar>
          </w:tcPr>
          <w:p>
            <w:pPr>
              <w:keepLines/>
              <w:spacing w:after="60"/>
            </w:pPr>
            <w:r>
              <w:rPr>
                <w:rFonts w:ascii="Calibri" w:hAnsi="Calibri"/>
                <w:sz w:val="19"/>
              </w:rPr>
              <w:t>Correct gaps; assess security, adoption and economics; agree next-phase decision.</w:t>
            </w:r>
          </w:p>
        </w:tc>
        <w:tc>
          <w:tcPr>
            <w:tcW w:type="dxa" w:w="2760"/>
            <w:tcMar>
              <w:top w:w="100" w:type="dxa"/>
              <w:start w:w="120" w:type="dxa"/>
              <w:bottom w:w="100" w:type="dxa"/>
              <w:end w:w="120" w:type="dxa"/>
            </w:tcMar>
          </w:tcPr>
          <w:p>
            <w:pPr>
              <w:keepLines/>
              <w:spacing w:after="60"/>
            </w:pPr>
            <w:r>
              <w:rPr>
                <w:rFonts w:ascii="Calibri" w:hAnsi="Calibri"/>
                <w:sz w:val="19"/>
              </w:rPr>
              <w:t>Pilot report and recommendation</w:t>
            </w:r>
          </w:p>
        </w:tc>
      </w:tr>
    </w:tbl>
    <w:p>
      <w:pPr>
        <w:pStyle w:val="Heading1"/>
      </w:pPr>
      <w:r>
        <w:t>8. Pilot Deliverables</w:t>
      </w:r>
    </w:p>
    <w:p>
      <w:pPr>
        <w:pStyle w:val="ListBullet"/>
        <w:spacing w:after="80" w:line="290" w:lineRule="auto"/>
      </w:pPr>
      <w:r>
        <w:rPr>
          <w:rFonts w:ascii="Calibri" w:hAnsi="Calibri"/>
        </w:rPr>
        <w:t>Configured Zadara/Sandz knowledge workspace in kbSandbox</w:t>
      </w:r>
    </w:p>
    <w:p>
      <w:pPr>
        <w:pStyle w:val="ListBullet"/>
        <w:spacing w:after="80" w:line="290" w:lineRule="auto"/>
      </w:pPr>
      <w:r>
        <w:rPr>
          <w:rFonts w:ascii="Calibri" w:hAnsi="Calibri"/>
        </w:rPr>
        <w:t>Curated initial corpus with source metadata and access rules</w:t>
      </w:r>
    </w:p>
    <w:p>
      <w:pPr>
        <w:pStyle w:val="ListBullet"/>
        <w:spacing w:after="80" w:line="290" w:lineRule="auto"/>
      </w:pPr>
      <w:r>
        <w:rPr>
          <w:rFonts w:ascii="Calibri" w:hAnsi="Calibri"/>
        </w:rPr>
        <w:t>Proposal Copilot workflow and reusable prompt patterns</w:t>
      </w:r>
    </w:p>
    <w:p>
      <w:pPr>
        <w:pStyle w:val="ListBullet"/>
        <w:spacing w:after="80" w:line="290" w:lineRule="auto"/>
      </w:pPr>
      <w:r>
        <w:rPr>
          <w:rFonts w:ascii="Calibri" w:hAnsi="Calibri"/>
        </w:rPr>
        <w:t>Client Complaint Copilot workflow and escalation template</w:t>
      </w:r>
    </w:p>
    <w:p>
      <w:pPr>
        <w:pStyle w:val="ListBullet"/>
        <w:spacing w:after="80" w:line="290" w:lineRule="auto"/>
      </w:pPr>
      <w:r>
        <w:rPr>
          <w:rFonts w:ascii="Calibri" w:hAnsi="Calibri"/>
        </w:rPr>
        <w:t>Representative evaluation set based on real Sandz tasks, suitably sanitized</w:t>
      </w:r>
    </w:p>
    <w:p>
      <w:pPr>
        <w:pStyle w:val="ListBullet"/>
        <w:spacing w:after="80" w:line="290" w:lineRule="auto"/>
      </w:pPr>
      <w:r>
        <w:rPr>
          <w:rFonts w:ascii="Calibri" w:hAnsi="Calibri"/>
        </w:rPr>
        <w:t>Pilot usage, quality and risk report</w:t>
      </w:r>
    </w:p>
    <w:p>
      <w:pPr>
        <w:pStyle w:val="ListBullet"/>
        <w:spacing w:after="80" w:line="290" w:lineRule="auto"/>
      </w:pPr>
      <w:r>
        <w:rPr>
          <w:rFonts w:ascii="Calibri" w:hAnsi="Calibri"/>
        </w:rPr>
        <w:t>Phase 2 architecture recommendation, including whether API/MCP integration is justified</w:t>
      </w:r>
    </w:p>
    <w:p>
      <w:pPr>
        <w:pStyle w:val="Heading1"/>
      </w:pPr>
      <w:r>
        <w:t>9. Measures of Success</w:t>
      </w:r>
    </w:p>
    <w:tbl>
      <w:tblPr>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shd w:fill="17365D"/>
            <w:tcMar>
              <w:top w:w="100" w:type="dxa"/>
              <w:start w:w="120" w:type="dxa"/>
              <w:bottom w:w="100" w:type="dxa"/>
              <w:end w:w="120" w:type="dxa"/>
            </w:tcMar>
          </w:tcPr>
          <w:p>
            <w:pPr>
              <w:keepLines/>
              <w:spacing w:after="60"/>
            </w:pPr>
            <w:r>
              <w:rPr>
                <w:rFonts w:ascii="Calibri" w:hAnsi="Calibri"/>
                <w:b/>
                <w:color w:val="FFFFFF"/>
              </w:rPr>
              <w:t>Dimension</w:t>
            </w:r>
          </w:p>
        </w:tc>
        <w:tc>
          <w:tcPr>
            <w:tcW w:type="dxa" w:w="3600"/>
            <w:shd w:fill="17365D"/>
            <w:tcMar>
              <w:top w:w="100" w:type="dxa"/>
              <w:start w:w="120" w:type="dxa"/>
              <w:bottom w:w="100" w:type="dxa"/>
              <w:end w:w="120" w:type="dxa"/>
            </w:tcMar>
          </w:tcPr>
          <w:p>
            <w:pPr>
              <w:keepLines/>
              <w:spacing w:after="60"/>
            </w:pPr>
            <w:r>
              <w:rPr>
                <w:rFonts w:ascii="Calibri" w:hAnsi="Calibri"/>
                <w:b/>
                <w:color w:val="FFFFFF"/>
              </w:rPr>
              <w:t>Illustrative measure</w:t>
            </w:r>
          </w:p>
        </w:tc>
        <w:tc>
          <w:tcPr>
            <w:tcW w:type="dxa" w:w="3960"/>
            <w:shd w:fill="17365D"/>
            <w:tcMar>
              <w:top w:w="100" w:type="dxa"/>
              <w:start w:w="120" w:type="dxa"/>
              <w:bottom w:w="100" w:type="dxa"/>
              <w:end w:w="120" w:type="dxa"/>
            </w:tcMar>
          </w:tcPr>
          <w:p>
            <w:pPr>
              <w:keepLines/>
              <w:spacing w:after="60"/>
            </w:pPr>
            <w:r>
              <w:rPr>
                <w:rFonts w:ascii="Calibri" w:hAnsi="Calibri"/>
                <w:b/>
                <w:color w:val="FFFFFF"/>
              </w:rPr>
              <w:t>Pilot method</w:t>
            </w:r>
          </w:p>
        </w:tc>
      </w:tr>
      <w:tr>
        <w:tc>
          <w:tcPr>
            <w:tcW w:type="dxa" w:w="1800"/>
            <w:tcMar>
              <w:top w:w="100" w:type="dxa"/>
              <w:start w:w="120" w:type="dxa"/>
              <w:bottom w:w="100" w:type="dxa"/>
              <w:end w:w="120" w:type="dxa"/>
            </w:tcMar>
          </w:tcPr>
          <w:p>
            <w:pPr>
              <w:keepLines/>
              <w:spacing w:after="60"/>
            </w:pPr>
            <w:r>
              <w:rPr>
                <w:rFonts w:ascii="Calibri" w:hAnsi="Calibri"/>
                <w:sz w:val="19"/>
              </w:rPr>
              <w:t>Productivity</w:t>
            </w:r>
          </w:p>
        </w:tc>
        <w:tc>
          <w:tcPr>
            <w:tcW w:type="dxa" w:w="3600"/>
            <w:tcMar>
              <w:top w:w="100" w:type="dxa"/>
              <w:start w:w="120" w:type="dxa"/>
              <w:bottom w:w="100" w:type="dxa"/>
              <w:end w:w="120" w:type="dxa"/>
            </w:tcMar>
          </w:tcPr>
          <w:p>
            <w:pPr>
              <w:keepLines/>
              <w:spacing w:after="60"/>
            </w:pPr>
            <w:r>
              <w:rPr>
                <w:rFonts w:ascii="Calibri" w:hAnsi="Calibri"/>
                <w:sz w:val="19"/>
              </w:rPr>
              <w:t>Reduction in time to create a first proposal draft or diagnostic plan</w:t>
            </w:r>
          </w:p>
        </w:tc>
        <w:tc>
          <w:tcPr>
            <w:tcW w:type="dxa" w:w="3960"/>
            <w:tcMar>
              <w:top w:w="100" w:type="dxa"/>
              <w:start w:w="120" w:type="dxa"/>
              <w:bottom w:w="100" w:type="dxa"/>
              <w:end w:w="120" w:type="dxa"/>
            </w:tcMar>
          </w:tcPr>
          <w:p>
            <w:pPr>
              <w:keepLines/>
              <w:spacing w:after="60"/>
            </w:pPr>
            <w:r>
              <w:rPr>
                <w:rFonts w:ascii="Calibri" w:hAnsi="Calibri"/>
                <w:sz w:val="19"/>
              </w:rPr>
              <w:t>Compare baseline and assisted tasks</w:t>
            </w:r>
          </w:p>
        </w:tc>
      </w:tr>
      <w:tr>
        <w:tc>
          <w:tcPr>
            <w:tcW w:type="dxa" w:w="1800"/>
            <w:tcMar>
              <w:top w:w="100" w:type="dxa"/>
              <w:start w:w="120" w:type="dxa"/>
              <w:bottom w:w="100" w:type="dxa"/>
              <w:end w:w="120" w:type="dxa"/>
            </w:tcMar>
          </w:tcPr>
          <w:p>
            <w:pPr>
              <w:keepLines/>
              <w:spacing w:after="60"/>
            </w:pPr>
            <w:r>
              <w:rPr>
                <w:rFonts w:ascii="Calibri" w:hAnsi="Calibri"/>
                <w:sz w:val="19"/>
              </w:rPr>
              <w:t>Grounding</w:t>
            </w:r>
          </w:p>
        </w:tc>
        <w:tc>
          <w:tcPr>
            <w:tcW w:type="dxa" w:w="3600"/>
            <w:tcMar>
              <w:top w:w="100" w:type="dxa"/>
              <w:start w:w="120" w:type="dxa"/>
              <w:bottom w:w="100" w:type="dxa"/>
              <w:end w:w="120" w:type="dxa"/>
            </w:tcMar>
          </w:tcPr>
          <w:p>
            <w:pPr>
              <w:keepLines/>
              <w:spacing w:after="60"/>
            </w:pPr>
            <w:r>
              <w:rPr>
                <w:rFonts w:ascii="Calibri" w:hAnsi="Calibri"/>
                <w:sz w:val="19"/>
              </w:rPr>
              <w:t>Material claims supported by approved citations</w:t>
            </w:r>
          </w:p>
        </w:tc>
        <w:tc>
          <w:tcPr>
            <w:tcW w:type="dxa" w:w="3960"/>
            <w:tcMar>
              <w:top w:w="100" w:type="dxa"/>
              <w:start w:w="120" w:type="dxa"/>
              <w:bottom w:w="100" w:type="dxa"/>
              <w:end w:w="120" w:type="dxa"/>
            </w:tcMar>
          </w:tcPr>
          <w:p>
            <w:pPr>
              <w:keepLines/>
              <w:spacing w:after="60"/>
            </w:pPr>
            <w:r>
              <w:rPr>
                <w:rFonts w:ascii="Calibri" w:hAnsi="Calibri"/>
                <w:sz w:val="19"/>
              </w:rPr>
              <w:t>Expert review of sampled answers</w:t>
            </w:r>
          </w:p>
        </w:tc>
      </w:tr>
      <w:tr>
        <w:tc>
          <w:tcPr>
            <w:tcW w:type="dxa" w:w="1800"/>
            <w:tcMar>
              <w:top w:w="100" w:type="dxa"/>
              <w:start w:w="120" w:type="dxa"/>
              <w:bottom w:w="100" w:type="dxa"/>
              <w:end w:w="120" w:type="dxa"/>
            </w:tcMar>
          </w:tcPr>
          <w:p>
            <w:pPr>
              <w:keepLines/>
              <w:spacing w:after="60"/>
            </w:pPr>
            <w:r>
              <w:rPr>
                <w:rFonts w:ascii="Calibri" w:hAnsi="Calibri"/>
                <w:sz w:val="19"/>
              </w:rPr>
              <w:t>Quality</w:t>
            </w:r>
          </w:p>
        </w:tc>
        <w:tc>
          <w:tcPr>
            <w:tcW w:type="dxa" w:w="3600"/>
            <w:tcMar>
              <w:top w:w="100" w:type="dxa"/>
              <w:start w:w="120" w:type="dxa"/>
              <w:bottom w:w="100" w:type="dxa"/>
              <w:end w:w="120" w:type="dxa"/>
            </w:tcMar>
          </w:tcPr>
          <w:p>
            <w:pPr>
              <w:keepLines/>
              <w:spacing w:after="60"/>
            </w:pPr>
            <w:r>
              <w:rPr>
                <w:rFonts w:ascii="Calibri" w:hAnsi="Calibri"/>
                <w:sz w:val="19"/>
              </w:rPr>
              <w:t>Fewer omissions, unsupported assertions and irrelevant steps</w:t>
            </w:r>
          </w:p>
        </w:tc>
        <w:tc>
          <w:tcPr>
            <w:tcW w:type="dxa" w:w="3960"/>
            <w:tcMar>
              <w:top w:w="100" w:type="dxa"/>
              <w:start w:w="120" w:type="dxa"/>
              <w:bottom w:w="100" w:type="dxa"/>
              <w:end w:w="120" w:type="dxa"/>
            </w:tcMar>
          </w:tcPr>
          <w:p>
            <w:pPr>
              <w:keepLines/>
              <w:spacing w:after="60"/>
            </w:pPr>
            <w:r>
              <w:rPr>
                <w:rFonts w:ascii="Calibri" w:hAnsi="Calibri"/>
                <w:sz w:val="19"/>
              </w:rPr>
              <w:t>Score against an agreed rubric</w:t>
            </w:r>
          </w:p>
        </w:tc>
      </w:tr>
      <w:tr>
        <w:tc>
          <w:tcPr>
            <w:tcW w:type="dxa" w:w="1800"/>
            <w:tcMar>
              <w:top w:w="100" w:type="dxa"/>
              <w:start w:w="120" w:type="dxa"/>
              <w:bottom w:w="100" w:type="dxa"/>
              <w:end w:w="120" w:type="dxa"/>
            </w:tcMar>
          </w:tcPr>
          <w:p>
            <w:pPr>
              <w:keepLines/>
              <w:spacing w:after="60"/>
            </w:pPr>
            <w:r>
              <w:rPr>
                <w:rFonts w:ascii="Calibri" w:hAnsi="Calibri"/>
                <w:sz w:val="19"/>
              </w:rPr>
              <w:t>Adoption</w:t>
            </w:r>
          </w:p>
        </w:tc>
        <w:tc>
          <w:tcPr>
            <w:tcW w:type="dxa" w:w="3600"/>
            <w:tcMar>
              <w:top w:w="100" w:type="dxa"/>
              <w:start w:w="120" w:type="dxa"/>
              <w:bottom w:w="100" w:type="dxa"/>
              <w:end w:w="120" w:type="dxa"/>
            </w:tcMar>
          </w:tcPr>
          <w:p>
            <w:pPr>
              <w:keepLines/>
              <w:spacing w:after="60"/>
            </w:pPr>
            <w:r>
              <w:rPr>
                <w:rFonts w:ascii="Calibri" w:hAnsi="Calibri"/>
                <w:sz w:val="19"/>
              </w:rPr>
              <w:t>Target users complete repeated tasks and elect to continue</w:t>
            </w:r>
          </w:p>
        </w:tc>
        <w:tc>
          <w:tcPr>
            <w:tcW w:type="dxa" w:w="3960"/>
            <w:tcMar>
              <w:top w:w="100" w:type="dxa"/>
              <w:start w:w="120" w:type="dxa"/>
              <w:bottom w:w="100" w:type="dxa"/>
              <w:end w:w="120" w:type="dxa"/>
            </w:tcMar>
          </w:tcPr>
          <w:p>
            <w:pPr>
              <w:keepLines/>
              <w:spacing w:after="60"/>
            </w:pPr>
            <w:r>
              <w:rPr>
                <w:rFonts w:ascii="Calibri" w:hAnsi="Calibri"/>
                <w:sz w:val="19"/>
              </w:rPr>
              <w:t>Usage plus structured interviews</w:t>
            </w:r>
          </w:p>
        </w:tc>
      </w:tr>
      <w:tr>
        <w:tc>
          <w:tcPr>
            <w:tcW w:type="dxa" w:w="1800"/>
            <w:tcMar>
              <w:top w:w="100" w:type="dxa"/>
              <w:start w:w="120" w:type="dxa"/>
              <w:bottom w:w="100" w:type="dxa"/>
              <w:end w:w="120" w:type="dxa"/>
            </w:tcMar>
          </w:tcPr>
          <w:p>
            <w:pPr>
              <w:keepLines/>
              <w:spacing w:after="60"/>
            </w:pPr>
            <w:r>
              <w:rPr>
                <w:rFonts w:ascii="Calibri" w:hAnsi="Calibri"/>
                <w:sz w:val="19"/>
              </w:rPr>
              <w:t>Safety</w:t>
            </w:r>
          </w:p>
        </w:tc>
        <w:tc>
          <w:tcPr>
            <w:tcW w:type="dxa" w:w="3600"/>
            <w:tcMar>
              <w:top w:w="100" w:type="dxa"/>
              <w:start w:w="120" w:type="dxa"/>
              <w:bottom w:w="100" w:type="dxa"/>
              <w:end w:w="120" w:type="dxa"/>
            </w:tcMar>
          </w:tcPr>
          <w:p>
            <w:pPr>
              <w:keepLines/>
              <w:spacing w:after="60"/>
            </w:pPr>
            <w:r>
              <w:rPr>
                <w:rFonts w:ascii="Calibri" w:hAnsi="Calibri"/>
                <w:sz w:val="19"/>
              </w:rPr>
              <w:t>No cross-scope disclosure or unapproved operational action</w:t>
            </w:r>
          </w:p>
        </w:tc>
        <w:tc>
          <w:tcPr>
            <w:tcW w:type="dxa" w:w="3960"/>
            <w:tcMar>
              <w:top w:w="100" w:type="dxa"/>
              <w:start w:w="120" w:type="dxa"/>
              <w:bottom w:w="100" w:type="dxa"/>
              <w:end w:w="120" w:type="dxa"/>
            </w:tcMar>
          </w:tcPr>
          <w:p>
            <w:pPr>
              <w:keepLines/>
              <w:spacing w:after="60"/>
            </w:pPr>
            <w:r>
              <w:rPr>
                <w:rFonts w:ascii="Calibri" w:hAnsi="Calibri"/>
                <w:sz w:val="19"/>
              </w:rPr>
              <w:t>Permission and adversarial tests</w:t>
            </w:r>
          </w:p>
        </w:tc>
      </w:tr>
      <w:tr>
        <w:tc>
          <w:tcPr>
            <w:tcW w:type="dxa" w:w="1800"/>
            <w:tcMar>
              <w:top w:w="100" w:type="dxa"/>
              <w:start w:w="120" w:type="dxa"/>
              <w:bottom w:w="100" w:type="dxa"/>
              <w:end w:w="120" w:type="dxa"/>
            </w:tcMar>
          </w:tcPr>
          <w:p>
            <w:pPr>
              <w:keepLines/>
              <w:spacing w:after="60"/>
            </w:pPr>
            <w:r>
              <w:rPr>
                <w:rFonts w:ascii="Calibri" w:hAnsi="Calibri"/>
                <w:sz w:val="19"/>
              </w:rPr>
              <w:t>Commercial fit</w:t>
            </w:r>
          </w:p>
        </w:tc>
        <w:tc>
          <w:tcPr>
            <w:tcW w:type="dxa" w:w="3600"/>
            <w:tcMar>
              <w:top w:w="100" w:type="dxa"/>
              <w:start w:w="120" w:type="dxa"/>
              <w:bottom w:w="100" w:type="dxa"/>
              <w:end w:w="120" w:type="dxa"/>
            </w:tcMar>
          </w:tcPr>
          <w:p>
            <w:pPr>
              <w:keepLines/>
              <w:spacing w:after="60"/>
            </w:pPr>
            <w:r>
              <w:rPr>
                <w:rFonts w:ascii="Calibri" w:hAnsi="Calibri"/>
                <w:sz w:val="19"/>
              </w:rPr>
              <w:t>Credible path to internal deployment or customer offering</w:t>
            </w:r>
          </w:p>
        </w:tc>
        <w:tc>
          <w:tcPr>
            <w:tcW w:type="dxa" w:w="3960"/>
            <w:tcMar>
              <w:top w:w="100" w:type="dxa"/>
              <w:start w:w="120" w:type="dxa"/>
              <w:bottom w:w="100" w:type="dxa"/>
              <w:end w:w="120" w:type="dxa"/>
            </w:tcMar>
          </w:tcPr>
          <w:p>
            <w:pPr>
              <w:keepLines/>
              <w:spacing w:after="60"/>
            </w:pPr>
            <w:r>
              <w:rPr>
                <w:rFonts w:ascii="Calibri" w:hAnsi="Calibri"/>
                <w:sz w:val="19"/>
              </w:rPr>
              <w:t>Joint business review</w:t>
            </w:r>
          </w:p>
        </w:tc>
      </w:tr>
    </w:tbl>
    <w:p>
      <w:pPr>
        <w:pStyle w:val="Heading1"/>
      </w:pPr>
      <w:r>
        <w:t>10. Roles in a Joint Pilot</w:t>
      </w:r>
    </w:p>
    <w:tbl>
      <w:tblPr>
        <w:tblW w:type="dxa" w:w="9360"/>
        <w:jc w:val="left"/>
        <w:tblLayout w:type="fixed"/>
        <w:tblLook w:firstColumn="1" w:firstRow="1" w:lastColumn="0" w:lastRow="0" w:noHBand="0" w:noVBand="1" w:val="04A0"/>
        <w:tblInd w:w="120" w:type="dxa"/>
      </w:tblPr>
      <w:tblGrid>
        <w:gridCol w:w="1500"/>
        <w:gridCol w:w="4860"/>
        <w:gridCol w:w="3000"/>
      </w:tblGrid>
      <w:tr>
        <w:trPr>
          <w:tblHeader w:val="true"/>
        </w:trPr>
        <w:tc>
          <w:tcPr>
            <w:tcW w:type="dxa" w:w="1500"/>
            <w:shd w:fill="17365D"/>
            <w:tcMar>
              <w:top w:w="100" w:type="dxa"/>
              <w:start w:w="120" w:type="dxa"/>
              <w:bottom w:w="100" w:type="dxa"/>
              <w:end w:w="120" w:type="dxa"/>
            </w:tcMar>
          </w:tcPr>
          <w:p>
            <w:pPr>
              <w:keepLines/>
              <w:spacing w:after="60"/>
            </w:pPr>
            <w:r>
              <w:rPr>
                <w:rFonts w:ascii="Calibri" w:hAnsi="Calibri"/>
                <w:b/>
                <w:color w:val="FFFFFF"/>
              </w:rPr>
              <w:t>Party</w:t>
            </w:r>
          </w:p>
        </w:tc>
        <w:tc>
          <w:tcPr>
            <w:tcW w:type="dxa" w:w="4860"/>
            <w:shd w:fill="17365D"/>
            <w:tcMar>
              <w:top w:w="100" w:type="dxa"/>
              <w:start w:w="120" w:type="dxa"/>
              <w:bottom w:w="100" w:type="dxa"/>
              <w:end w:w="120" w:type="dxa"/>
            </w:tcMar>
          </w:tcPr>
          <w:p>
            <w:pPr>
              <w:keepLines/>
              <w:spacing w:after="60"/>
            </w:pPr>
            <w:r>
              <w:rPr>
                <w:rFonts w:ascii="Calibri" w:hAnsi="Calibri"/>
                <w:b/>
                <w:color w:val="FFFFFF"/>
              </w:rPr>
              <w:t>Proposed contribution</w:t>
            </w:r>
          </w:p>
        </w:tc>
        <w:tc>
          <w:tcPr>
            <w:tcW w:type="dxa" w:w="3000"/>
            <w:shd w:fill="17365D"/>
            <w:tcMar>
              <w:top w:w="100" w:type="dxa"/>
              <w:start w:w="120" w:type="dxa"/>
              <w:bottom w:w="100" w:type="dxa"/>
              <w:end w:w="120" w:type="dxa"/>
            </w:tcMar>
          </w:tcPr>
          <w:p>
            <w:pPr>
              <w:keepLines/>
              <w:spacing w:after="60"/>
            </w:pPr>
            <w:r>
              <w:rPr>
                <w:rFonts w:ascii="Calibri" w:hAnsi="Calibri"/>
                <w:b/>
                <w:color w:val="FFFFFF"/>
              </w:rPr>
              <w:t>Decision rights</w:t>
            </w:r>
          </w:p>
        </w:tc>
      </w:tr>
      <w:tr>
        <w:tc>
          <w:tcPr>
            <w:tcW w:type="dxa" w:w="1500"/>
            <w:tcMar>
              <w:top w:w="100" w:type="dxa"/>
              <w:start w:w="120" w:type="dxa"/>
              <w:bottom w:w="100" w:type="dxa"/>
              <w:end w:w="120" w:type="dxa"/>
            </w:tcMar>
          </w:tcPr>
          <w:p>
            <w:pPr>
              <w:keepLines/>
              <w:spacing w:after="60"/>
            </w:pPr>
            <w:r>
              <w:rPr>
                <w:rFonts w:ascii="Calibri" w:hAnsi="Calibri"/>
                <w:sz w:val="19"/>
              </w:rPr>
              <w:t>Sandz</w:t>
            </w:r>
          </w:p>
        </w:tc>
        <w:tc>
          <w:tcPr>
            <w:tcW w:type="dxa" w:w="4860"/>
            <w:tcMar>
              <w:top w:w="100" w:type="dxa"/>
              <w:start w:w="120" w:type="dxa"/>
              <w:bottom w:w="100" w:type="dxa"/>
              <w:end w:w="120" w:type="dxa"/>
            </w:tcMar>
          </w:tcPr>
          <w:p>
            <w:pPr>
              <w:keepLines/>
              <w:spacing w:after="60"/>
            </w:pPr>
            <w:r>
              <w:rPr>
                <w:rFonts w:ascii="Calibri" w:hAnsi="Calibri"/>
                <w:sz w:val="19"/>
              </w:rPr>
              <w:t>Executive sponsor; pilot users; internal content; domain experts; workflow and commercial validation.</w:t>
            </w:r>
          </w:p>
        </w:tc>
        <w:tc>
          <w:tcPr>
            <w:tcW w:type="dxa" w:w="3000"/>
            <w:tcMar>
              <w:top w:w="100" w:type="dxa"/>
              <w:start w:w="120" w:type="dxa"/>
              <w:bottom w:w="100" w:type="dxa"/>
              <w:end w:w="120" w:type="dxa"/>
            </w:tcMar>
          </w:tcPr>
          <w:p>
            <w:pPr>
              <w:keepLines/>
              <w:spacing w:after="60"/>
            </w:pPr>
            <w:r>
              <w:rPr>
                <w:rFonts w:ascii="Calibri" w:hAnsi="Calibri"/>
                <w:sz w:val="19"/>
              </w:rPr>
              <w:t>Approves Sandz content, users and external outputs.</w:t>
            </w:r>
          </w:p>
        </w:tc>
      </w:tr>
      <w:tr>
        <w:tc>
          <w:tcPr>
            <w:tcW w:type="dxa" w:w="1500"/>
            <w:tcMar>
              <w:top w:w="100" w:type="dxa"/>
              <w:start w:w="120" w:type="dxa"/>
              <w:bottom w:w="100" w:type="dxa"/>
              <w:end w:w="120" w:type="dxa"/>
            </w:tcMar>
          </w:tcPr>
          <w:p>
            <w:pPr>
              <w:keepLines/>
              <w:spacing w:after="60"/>
            </w:pPr>
            <w:r>
              <w:rPr>
                <w:rFonts w:ascii="Calibri" w:hAnsi="Calibri"/>
                <w:sz w:val="19"/>
              </w:rPr>
              <w:t>kbSandbox</w:t>
            </w:r>
          </w:p>
        </w:tc>
        <w:tc>
          <w:tcPr>
            <w:tcW w:type="dxa" w:w="4860"/>
            <w:tcMar>
              <w:top w:w="100" w:type="dxa"/>
              <w:start w:w="120" w:type="dxa"/>
              <w:bottom w:w="100" w:type="dxa"/>
              <w:end w:w="120" w:type="dxa"/>
            </w:tcMar>
          </w:tcPr>
          <w:p>
            <w:pPr>
              <w:keepLines/>
              <w:spacing w:after="60"/>
            </w:pPr>
            <w:r>
              <w:rPr>
                <w:rFonts w:ascii="Calibri" w:hAnsi="Calibri"/>
                <w:sz w:val="19"/>
              </w:rPr>
              <w:t>Product configuration; ingestion and curation workflow; retrieval experience; evaluation and pilot support.</w:t>
            </w:r>
          </w:p>
        </w:tc>
        <w:tc>
          <w:tcPr>
            <w:tcW w:type="dxa" w:w="3000"/>
            <w:tcMar>
              <w:top w:w="100" w:type="dxa"/>
              <w:start w:w="120" w:type="dxa"/>
              <w:bottom w:w="100" w:type="dxa"/>
              <w:end w:w="120" w:type="dxa"/>
            </w:tcMar>
          </w:tcPr>
          <w:p>
            <w:pPr>
              <w:keepLines/>
              <w:spacing w:after="60"/>
            </w:pPr>
            <w:r>
              <w:rPr>
                <w:rFonts w:ascii="Calibri" w:hAnsi="Calibri"/>
                <w:sz w:val="19"/>
              </w:rPr>
              <w:t>Retains product engineering control subject to agreed pilot terms.</w:t>
            </w:r>
          </w:p>
        </w:tc>
      </w:tr>
      <w:tr>
        <w:tc>
          <w:tcPr>
            <w:tcW w:type="dxa" w:w="1500"/>
            <w:tcMar>
              <w:top w:w="100" w:type="dxa"/>
              <w:start w:w="120" w:type="dxa"/>
              <w:bottom w:w="100" w:type="dxa"/>
              <w:end w:w="120" w:type="dxa"/>
            </w:tcMar>
          </w:tcPr>
          <w:p>
            <w:pPr>
              <w:keepLines/>
              <w:spacing w:after="60"/>
            </w:pPr>
            <w:r>
              <w:rPr>
                <w:rFonts w:ascii="Calibri" w:hAnsi="Calibri"/>
                <w:sz w:val="19"/>
              </w:rPr>
              <w:t>Zadara</w:t>
            </w:r>
          </w:p>
        </w:tc>
        <w:tc>
          <w:tcPr>
            <w:tcW w:type="dxa" w:w="4860"/>
            <w:tcMar>
              <w:top w:w="100" w:type="dxa"/>
              <w:start w:w="120" w:type="dxa"/>
              <w:bottom w:w="100" w:type="dxa"/>
              <w:end w:w="120" w:type="dxa"/>
            </w:tcMar>
          </w:tcPr>
          <w:p>
            <w:pPr>
              <w:keepLines/>
              <w:spacing w:after="60"/>
            </w:pPr>
            <w:r>
              <w:rPr>
                <w:rFonts w:ascii="Calibri" w:hAnsi="Calibri"/>
                <w:sz w:val="19"/>
              </w:rPr>
              <w:t>Documentation permission/clarification; product expertise; technical validation; possible partner enablement support.</w:t>
            </w:r>
          </w:p>
        </w:tc>
        <w:tc>
          <w:tcPr>
            <w:tcW w:type="dxa" w:w="3000"/>
            <w:tcMar>
              <w:top w:w="100" w:type="dxa"/>
              <w:start w:w="120" w:type="dxa"/>
              <w:bottom w:w="100" w:type="dxa"/>
              <w:end w:w="120" w:type="dxa"/>
            </w:tcMar>
          </w:tcPr>
          <w:p>
            <w:pPr>
              <w:keepLines/>
              <w:spacing w:after="60"/>
            </w:pPr>
            <w:r>
              <w:rPr>
                <w:rFonts w:ascii="Calibri" w:hAnsi="Calibri"/>
                <w:sz w:val="19"/>
              </w:rPr>
              <w:t>Approves use of protected Zadara content and validates Zadara-specific claims.</w:t>
            </w:r>
          </w:p>
        </w:tc>
      </w:tr>
    </w:tbl>
    <w:p>
      <w:pPr>
        <w:pStyle w:val="Heading1"/>
      </w:pPr>
      <w:r>
        <w:t>11. Commercial and IP Principles for Discussion</w:t>
      </w:r>
    </w:p>
    <w:p>
      <w:pPr>
        <w:spacing w:after="160" w:line="288" w:lineRule="auto"/>
      </w:pPr>
      <w:r>
        <w:rPr>
          <w:rFonts w:ascii="Calibri" w:hAnsi="Calibri"/>
          <w:i w:val="0"/>
        </w:rPr>
        <w:t>The pilot should validate value before either party commits to a broader commercial structure. The following principles are proposed as discussion safeguards, not final legal terms:</w:t>
      </w:r>
    </w:p>
    <w:p>
      <w:pPr>
        <w:pStyle w:val="ListBullet"/>
        <w:spacing w:after="80" w:line="290" w:lineRule="auto"/>
      </w:pPr>
      <w:r>
        <w:rPr>
          <w:rFonts w:ascii="Calibri" w:hAnsi="Calibri"/>
        </w:rPr>
        <w:t>Pre-existing kbSandbox software, methods and reusable components remain the property of their current owner unless separately acquired under a written agreement.</w:t>
      </w:r>
    </w:p>
    <w:p>
      <w:pPr>
        <w:pStyle w:val="ListBullet"/>
        <w:spacing w:after="80" w:line="290" w:lineRule="auto"/>
      </w:pPr>
      <w:r>
        <w:rPr>
          <w:rFonts w:ascii="Calibri" w:hAnsi="Calibri"/>
        </w:rPr>
        <w:t>Sandz and customer content remains owned by the originating party; use is limited to agreed purposes and permissions.</w:t>
      </w:r>
    </w:p>
    <w:p>
      <w:pPr>
        <w:pStyle w:val="ListBullet"/>
        <w:spacing w:after="80" w:line="290" w:lineRule="auto"/>
      </w:pPr>
      <w:r>
        <w:rPr>
          <w:rFonts w:ascii="Calibri" w:hAnsi="Calibri"/>
        </w:rPr>
        <w:t>Zadara documentation and trademarks remain subject to Zadara’s licences and written approvals.</w:t>
      </w:r>
    </w:p>
    <w:p>
      <w:pPr>
        <w:pStyle w:val="ListBullet"/>
        <w:spacing w:after="80" w:line="290" w:lineRule="auto"/>
      </w:pPr>
      <w:r>
        <w:rPr>
          <w:rFonts w:ascii="Calibri" w:hAnsi="Calibri"/>
        </w:rPr>
        <w:t>Customer-specific configurations should be separated from the reusable product and returned or deleted at engagement end.</w:t>
      </w:r>
    </w:p>
    <w:p>
      <w:pPr>
        <w:pStyle w:val="ListBullet"/>
        <w:spacing w:after="80" w:line="290" w:lineRule="auto"/>
      </w:pPr>
      <w:r>
        <w:rPr>
          <w:rFonts w:ascii="Calibri" w:hAnsi="Calibri"/>
        </w:rPr>
        <w:t>Any acquisition, exclusivity, revenue share, reseller right or joint-product branding should be negotiated separately after pilot evidence is available.</w:t>
      </w:r>
    </w:p>
    <w:p>
      <w:pPr>
        <w:pStyle w:val="Heading1"/>
        <w:spacing w:after="80" w:line="288" w:lineRule="auto"/>
      </w:pPr>
      <w:r>
        <w:rPr>
          <w:rFonts w:ascii="Calibri" w:hAnsi="Calibri"/>
          <w:i w:val="0"/>
        </w:rPr>
        <w:t>12. Proposed Use Case 2: kbSandbox as an MCP Server for the Zadara VPSA API</w:t>
      </w:r>
    </w:p>
    <w:p>
      <w:pPr>
        <w:spacing w:after="160" w:line="288" w:lineRule="auto"/>
      </w:pPr>
      <w:r>
        <w:rPr>
          <w:rFonts w:ascii="Calibri" w:hAnsi="Calibri"/>
          <w:b/>
        </w:rPr>
        <w:t>Phase 2+ concept only -</w:t>
      </w:r>
      <w:r>
        <w:rPr>
          <w:rFonts w:ascii="Calibri" w:hAnsi="Calibri"/>
          <w:i w:val="0"/>
        </w:rPr>
        <w:t xml:space="preserve"> proposed as a joint Sandz and Zadara opportunity after the Phase 1 knowledge copilot demonstrates value. This is not included in the current build or pilot commitment.</w:t>
      </w:r>
    </w:p>
    <w:p>
      <w:pPr>
        <w:spacing w:after="160" w:line="288" w:lineRule="auto"/>
      </w:pPr>
      <w:r>
        <w:rPr>
          <w:rFonts w:ascii="Calibri" w:hAnsi="Calibri"/>
          <w:i w:val="0"/>
        </w:rPr>
        <w:t>Zadara already publishes a substantial, versioned REST API reference for administering VPSA storage arrays. The public site identifies documentation version 23.03 as current and exposes operations across the major storage and administration domains. Earlier archived versions also exist, so a future implementation must first baseline the actual VPSA release supported in the intended Sandz environment.</w:t>
      </w:r>
    </w:p>
    <w:p>
      <w:pPr>
        <w:pStyle w:val="Heading2"/>
        <w:spacing w:after="80" w:line="288" w:lineRule="auto"/>
      </w:pPr>
      <w:r>
        <w:rPr>
          <w:rFonts w:ascii="Calibri" w:hAnsi="Calibri"/>
          <w:i w:val="0"/>
        </w:rPr>
        <w:t>12.1 Starting position</w:t>
      </w:r>
    </w:p>
    <w:p>
      <w:pPr>
        <w:spacing w:after="160" w:line="288" w:lineRule="auto"/>
      </w:pPr>
      <w:r>
        <w:rPr>
          <w:rFonts w:ascii="Calibri" w:hAnsi="Calibri"/>
          <w:i w:val="0"/>
        </w:rPr>
        <w:t>The published reference covers resource areas including volumes, pools, drives, RAID groups, snapshots and policies, consistency groups, servers, controllers, mirroring and cloning, remote object storage, images, containers, users, roles, NAS, logs, tickets and settings. Initial review indicates an API surface on the order of 150 operations, but the definitive count and compatibility matrix should be produced during formal specification work with Zadara.</w:t>
      </w:r>
    </w:p>
    <w:p>
      <w:pPr>
        <w:spacing w:after="160" w:line="288" w:lineRule="auto"/>
      </w:pPr>
      <w:r>
        <w:rPr>
          <w:rFonts w:ascii="Calibri" w:hAnsi="Calibri"/>
          <w:i w:val="0"/>
        </w:rPr>
        <w:t>The reference is human-readable REST documentation rather than a directly consumable OpenAPI 3.1 contract. Therefore, the first engineering step would be to transcribe and validate the applicable published reference into a real OpenAPI specification. Much of this is mechanical mapping, but authentication, error models, asynchronous operations, defaults, destructive semantics and version differences would still require validation against a real system and Zadara expertise.</w:t>
      </w:r>
    </w:p>
    <w:p>
      <w:pPr>
        <w:pStyle w:val="Heading2"/>
        <w:spacing w:after="80" w:line="288" w:lineRule="auto"/>
      </w:pPr>
      <w:r>
        <w:rPr>
          <w:rFonts w:ascii="Calibri" w:hAnsi="Calibri"/>
          <w:i w:val="0"/>
        </w:rPr>
        <w:t>12.2 Authentication and implementation dependency</w:t>
      </w:r>
    </w:p>
    <w:p>
      <w:pPr>
        <w:spacing w:after="160" w:line="288" w:lineRule="auto"/>
      </w:pPr>
      <w:r>
        <w:rPr>
          <w:rFonts w:ascii="Calibri" w:hAnsi="Calibri"/>
          <w:i w:val="0"/>
        </w:rPr>
        <w:t>VPSA API authentication uses an access key that can be supplied through the X-Access-Key header. Zadara documents each local user as having an individual access key and permissions governed by assigned roles. This is a promising basis for least-privilege and tenant isolation.</w:t>
      </w:r>
    </w:p>
    <w:p>
      <w:pPr>
        <w:spacing w:after="160" w:line="288" w:lineRule="auto"/>
      </w:pPr>
      <w:r>
        <w:rPr>
          <w:rFonts w:ascii="Calibri" w:hAnsi="Calibri"/>
          <w:i w:val="0"/>
        </w:rPr>
        <w:t>However, documentation alone is insufficient to build or validate an operational server. Work beyond specification and mock testing requires a Sandz or Zadara-provided VPSA test environment, an appropriately scoped API identity, a supported software version and agreed test data. kbSandbox cannot substitute for those dependencies.</w:t>
      </w:r>
    </w:p>
    <w:p>
      <w:pPr>
        <w:pStyle w:val="Heading2"/>
        <w:spacing w:after="80" w:line="288" w:lineRule="auto"/>
      </w:pPr>
      <w:r>
        <w:rPr>
          <w:rFonts w:ascii="Calibri" w:hAnsi="Calibri"/>
          <w:i w:val="0"/>
        </w:rPr>
        <w:t>12.3 Business tools, not mechanical endpoint conversion</w:t>
      </w:r>
    </w:p>
    <w:p>
      <w:pPr>
        <w:spacing w:after="160" w:line="288" w:lineRule="auto"/>
      </w:pPr>
      <w:r>
        <w:rPr>
          <w:rFonts w:ascii="Calibri" w:hAnsi="Calibri"/>
          <w:i w:val="0"/>
        </w:rPr>
        <w:t>A safe MCP design should not expose every raw REST endpoint directly to an AI model. Zadara’s create-volume operation, for example, includes many configuration choices spanning block or file behaviour, pool selection, deduplication, compression, encryption, SMB and NFS controls, antivirus settings and automatic expansion. Presenting the entire raw parameter surface would increase ambiguity and operational risk.</w:t>
      </w:r>
    </w:p>
    <w:p>
      <w:pPr>
        <w:spacing w:after="160" w:line="288" w:lineRule="auto"/>
      </w:pPr>
      <w:r>
        <w:rPr>
          <w:rFonts w:ascii="Calibri" w:hAnsi="Calibri"/>
          <w:i w:val="0"/>
        </w:rPr>
        <w:t>A higher-level tool could instead accept a compact business intent such as create_volume(name, capacity_gb, pool_id, kind, protection_preset). The server would apply approved defaults, validate the request against customer policy, display the resulting configuration and require human approval. Exceptional parameters would remain in a separate advanced workflow restricted to authorized storage professionals.</w:t>
      </w:r>
    </w:p>
    <w:p>
      <w:pPr>
        <w:pStyle w:val="Heading2"/>
        <w:spacing w:after="80" w:line="288" w:lineRule="auto"/>
      </w:pPr>
      <w:r>
        <w:rPr>
          <w:rFonts w:ascii="Calibri" w:hAnsi="Calibri"/>
          <w:i w:val="0"/>
        </w:rPr>
        <w:t>12.4 Joint value proposition</w:t>
      </w:r>
    </w:p>
    <w:p>
      <w:pPr>
        <w:pStyle w:val="ListBullet"/>
        <w:spacing w:after="80" w:line="288" w:lineRule="auto"/>
      </w:pPr>
      <w:r>
        <w:rPr>
          <w:rFonts w:ascii="Calibri" w:hAnsi="Calibri"/>
          <w:i w:val="0"/>
        </w:rPr>
        <w:t>For Zadara: a well-scoped MCP server could serve as a reference implementation and practical validation of the published VPSA API’s readiness for governed AI operations.</w:t>
      </w:r>
    </w:p>
    <w:p>
      <w:pPr>
        <w:pStyle w:val="ListBullet"/>
        <w:spacing w:after="80" w:line="288" w:lineRule="auto"/>
      </w:pPr>
      <w:r>
        <w:rPr>
          <w:rFonts w:ascii="Calibri" w:hAnsi="Calibri"/>
          <w:i w:val="0"/>
        </w:rPr>
        <w:t>For Sandz: it could become a differentiated managed-service capability built on the Phase 1 knowledge copilot and Sandz’s existing Zadara expertise and customer relationships.</w:t>
      </w:r>
    </w:p>
    <w:p>
      <w:pPr>
        <w:pStyle w:val="ListBullet"/>
        <w:spacing w:after="80" w:line="288" w:lineRule="auto"/>
      </w:pPr>
      <w:r>
        <w:rPr>
          <w:rFonts w:ascii="Calibri" w:hAnsi="Calibri"/>
          <w:i w:val="0"/>
        </w:rPr>
        <w:t>For customers: it could provide natural-language visibility and carefully controlled assistance without exposing raw credentials or unrestricted vendor APIs to the model.</w:t>
      </w:r>
    </w:p>
    <w:p>
      <w:pPr>
        <w:pStyle w:val="ListBullet"/>
        <w:spacing w:after="80" w:line="288" w:lineRule="auto"/>
      </w:pPr>
      <w:r>
        <w:rPr>
          <w:rFonts w:ascii="Calibri" w:hAnsi="Calibri"/>
          <w:i w:val="0"/>
        </w:rPr>
        <w:t>For kbSandbox: it would extend the product from governed knowledge into policy-controlled tools while retaining citations, customer context and auditability.</w:t>
      </w:r>
    </w:p>
    <w:p>
      <w:pPr>
        <w:pStyle w:val="Heading2"/>
      </w:pPr>
      <w:r>
        <w:t>12.5 Reusable offering and participant benefits</w:t>
      </w:r>
    </w:p>
    <w:p>
      <w:pPr/>
      <w:r>
        <w:t>The pilot should be designed as a reusable governed product pattern rather than a one-off demonstration. If the MCP server is validated and the parties agree appropriate commercial and licensing terms, Sandz could offer it to other Zadara customers that want governed AI access to selected storage capabilities. Zadara could also use the implementation as a reference pattern for approved partner or customer deployments. The pilot itself does not grant resale, redistribution or branding rights.</w:t>
      </w:r>
    </w:p>
    <w:p>
      <w:pPr>
        <w:pStyle w:val="Heading3"/>
      </w:pPr>
      <w:r>
        <w:t>Benefits for Sandz</w:t>
      </w:r>
    </w:p>
    <w:p>
      <w:pPr>
        <w:pStyle w:val="ListBullet"/>
      </w:pPr>
      <w:r>
        <w:t>Differentiate its managed-service portfolio with a practical, governed enterprise-AI capability.</w:t>
      </w:r>
    </w:p>
    <w:p>
      <w:pPr>
        <w:pStyle w:val="ListBullet"/>
      </w:pPr>
      <w:r>
        <w:t>Reuse the verified OpenAPI contract, business-level MCP tools, guardrails, evaluations, deployment patterns and onboarding material across agreed customer implementations.</w:t>
      </w:r>
    </w:p>
    <w:p>
      <w:pPr>
        <w:pStyle w:val="ListBullet"/>
      </w:pPr>
      <w:r>
        <w:t>Create potential services revenue from readiness assessment, deployment, knowledge curation, integration, training, governance and ongoing support.</w:t>
      </w:r>
    </w:p>
    <w:p>
      <w:pPr>
        <w:pStyle w:val="ListBullet"/>
      </w:pPr>
      <w:r>
        <w:t>Reduce proposal and support effort while capturing institutional knowledge from experienced sales, architecture and support staff.</w:t>
      </w:r>
    </w:p>
    <w:p>
      <w:pPr>
        <w:pStyle w:val="ListBullet"/>
      </w:pPr>
      <w:r>
        <w:t>Begin with read-only customer capabilities and add narrowly approved actions only when operational evidence supports them.</w:t>
      </w:r>
    </w:p>
    <w:p>
      <w:pPr>
        <w:pStyle w:val="Heading3"/>
      </w:pPr>
      <w:r>
        <w:t>Benefits for Zadara</w:t>
      </w:r>
    </w:p>
    <w:p>
      <w:pPr>
        <w:pStyle w:val="ListBullet"/>
      </w:pPr>
      <w:r>
        <w:t>Provide customers with an AI-ready access layer over selected VPSA capabilities without replacing the authoritative REST API or management tools.</w:t>
      </w:r>
    </w:p>
    <w:p>
      <w:pPr>
        <w:pStyle w:val="ListBullet"/>
      </w:pPr>
      <w:r>
        <w:t>Validate API documentation, workflows, permissions, defaults and error behavior through a real governed implementation.</w:t>
      </w:r>
    </w:p>
    <w:p>
      <w:pPr>
        <w:pStyle w:val="ListBullet"/>
      </w:pPr>
      <w:r>
        <w:t>Reduce repeated integration effort by establishing reusable tool contracts, examples and evaluation suites.</w:t>
      </w:r>
    </w:p>
    <w:p>
      <w:pPr>
        <w:pStyle w:val="ListBullet"/>
      </w:pPr>
      <w:r>
        <w:t>Help shape approved tools, permission boundaries, confirmation rules and audit expectations before inconsistent third-party wrappers emerge.</w:t>
      </w:r>
    </w:p>
    <w:p>
      <w:pPr>
        <w:pStyle w:val="ListBullet"/>
      </w:pPr>
      <w:r>
        <w:t>Gain evidence about the customer workflows most suitable for safe AI assistance and future product improvement.</w:t>
      </w:r>
    </w:p>
    <w:p>
      <w:pPr>
        <w:pStyle w:val="Heading3"/>
      </w:pPr>
      <w:r>
        <w:t>Benefits for KB Sandbox</w:t>
      </w:r>
    </w:p>
    <w:p>
      <w:pPr>
        <w:pStyle w:val="ListBullet"/>
      </w:pPr>
      <w:r>
        <w:t>Validate the complete evidence-led lifecycle on a genuine enterprise platform: discovery, curation, tool design, evaluation, approval and provenance.</w:t>
      </w:r>
    </w:p>
    <w:p>
      <w:pPr>
        <w:pStyle w:val="ListBullet"/>
      </w:pPr>
      <w:r>
        <w:t>Improve reusable MCP methods, templates, evaluation criteria and governance controls for future projects.</w:t>
      </w:r>
    </w:p>
    <w:p>
      <w:pPr>
        <w:pStyle w:val="ListBullet"/>
      </w:pPr>
      <w:r>
        <w:t>Create a credible reference case, subject to Sandz and Zadara approval and appropriate sanitization.</w:t>
      </w:r>
    </w:p>
    <w:p>
      <w:pPr>
        <w:pStyle w:val="ListBullet"/>
      </w:pPr>
      <w:r>
        <w:t>Establish a potential platform and implementation relationship covering pilot services, customer deployments and ongoing evaluation or governance support.</w:t>
      </w:r>
    </w:p>
    <w:p>
      <w:pPr>
        <w:pStyle w:val="Heading3"/>
      </w:pPr>
      <w:r>
        <w:t>Shared customer benefit</w:t>
      </w:r>
    </w:p>
    <w:p>
      <w:pPr/>
      <w:r>
        <w:t>Customers could gain natural-language visibility and carefully controlled assistance while retaining tenant isolation, least-privilege credentials, human approval, traceability and named support ownership.</w:t>
      </w:r>
    </w:p>
    <w:p>
      <w:pPr>
        <w:pStyle w:val="Heading2"/>
      </w:pPr>
      <w:r>
        <w:t>12.6 Commercial and ownership questions</w:t>
      </w:r>
    </w:p>
    <w:p>
      <w:pPr/>
      <w:r>
        <w:t>Before offering the MCP capability to additional customers, the parties should agree explicitly on:</w:t>
      </w:r>
    </w:p>
    <w:p>
      <w:pPr>
        <w:pStyle w:val="ListBullet"/>
      </w:pPr>
      <w:r>
        <w:t>Ownership and licensing of the OpenAPI specification, MCP implementation, tools, tests and deployment assets.</w:t>
      </w:r>
    </w:p>
    <w:p>
      <w:pPr>
        <w:pStyle w:val="ListBullet"/>
      </w:pPr>
      <w:r>
        <w:t>Which party may offer the capability to other customers, under what reseller, referral, revenue-share or joint-product arrangement.</w:t>
      </w:r>
    </w:p>
    <w:p>
      <w:pPr>
        <w:pStyle w:val="ListBullet"/>
      </w:pPr>
      <w:r>
        <w:t>Product naming, branding, public references and use of Sandz and Zadara trademarks.</w:t>
      </w:r>
    </w:p>
    <w:p>
      <w:pPr>
        <w:pStyle w:val="ListBullet"/>
      </w:pPr>
      <w:r>
        <w:t>Security approval, supported VPSA versions and responsibility for hosting, credentials, upgrades, monitoring and incident response.</w:t>
      </w:r>
    </w:p>
    <w:p>
      <w:pPr>
        <w:pStyle w:val="ListBullet"/>
      </w:pPr>
      <w:r>
        <w:t>Customer onboarding, first-line support, escalation, service levels, warranty and liability boundaries.</w:t>
      </w:r>
    </w:p>
    <w:p>
      <w:pPr>
        <w:pStyle w:val="ListBullet"/>
      </w:pPr>
      <w:r>
        <w:t>Separation of reusable improvements from confidential customer knowledge, configurations, evaluation data and customizations.</w:t>
      </w:r>
    </w:p>
    <w:p>
      <w:pPr>
        <w:pStyle w:val="ListBullet"/>
      </w:pPr>
      <w:r>
        <w:t>Commercial terms for the pilot and later customer deployments, including portability and exit arrangements.</w:t>
      </w:r>
    </w:p>
    <w:p>
      <w:pPr/>
      <w:r>
        <w:t>The desired outcome is reusable capability, but reuse must be established in the technical and commercial agreement rather than inferred from a successful pilot.</w:t>
      </w:r>
    </w:p>
    <w:p>
      <w:pPr>
        <w:pStyle w:val="Heading2"/>
        <w:spacing w:after="80" w:line="288" w:lineRule="auto"/>
      </w:pPr>
      <w:r>
        <w:t>12.7 Recommended progression and guardrails</w:t>
      </w:r>
    </w:p>
    <w:p>
      <w:pPr>
        <w:pStyle w:val="ListNumber"/>
        <w:spacing w:after="80" w:line="288" w:lineRule="auto"/>
      </w:pPr>
      <w:r>
        <w:rPr>
          <w:rFonts w:ascii="Calibri" w:hAnsi="Calibri"/>
          <w:i w:val="0"/>
        </w:rPr>
        <w:t>Complete Phase 1 and establish trusted knowledge answers, access controls and employee adoption.</w:t>
      </w:r>
    </w:p>
    <w:p>
      <w:pPr>
        <w:pStyle w:val="ListNumber"/>
        <w:spacing w:after="80" w:line="288" w:lineRule="auto"/>
      </w:pPr>
      <w:r>
        <w:rPr>
          <w:rFonts w:ascii="Calibri" w:hAnsi="Calibri"/>
          <w:i w:val="0"/>
        </w:rPr>
        <w:t>Confirm Zadara participation, documentation rights, supported VPSA version and a non-production test environment.</w:t>
      </w:r>
    </w:p>
    <w:p>
      <w:pPr>
        <w:pStyle w:val="ListNumber"/>
        <w:spacing w:after="80" w:line="288" w:lineRule="auto"/>
      </w:pPr>
      <w:r>
        <w:rPr>
          <w:rFonts w:ascii="Calibri" w:hAnsi="Calibri"/>
          <w:i w:val="0"/>
        </w:rPr>
        <w:t>Create and jointly validate an OpenAPI 3.1 contract for a deliberately selected subset of the VPSA API.</w:t>
      </w:r>
    </w:p>
    <w:p>
      <w:pPr>
        <w:pStyle w:val="ListNumber"/>
        <w:spacing w:after="80" w:line="288" w:lineRule="auto"/>
      </w:pPr>
      <w:r>
        <w:rPr>
          <w:rFonts w:ascii="Calibri" w:hAnsi="Calibri"/>
          <w:i w:val="0"/>
        </w:rPr>
        <w:t>Implement read-only tools first, such as capacity, health, snapshot, replication, alert and log queries.</w:t>
      </w:r>
    </w:p>
    <w:p>
      <w:pPr>
        <w:pStyle w:val="ListNumber"/>
        <w:spacing w:after="80" w:line="288" w:lineRule="auto"/>
      </w:pPr>
      <w:r>
        <w:rPr>
          <w:rFonts w:ascii="Calibri" w:hAnsi="Calibri"/>
          <w:i w:val="0"/>
        </w:rPr>
        <w:t>Add business-level write tools only after dry-run output, policy validation, human approval and complete audit logging are proven.</w:t>
      </w:r>
    </w:p>
    <w:p>
      <w:pPr>
        <w:pStyle w:val="ListNumber"/>
        <w:spacing w:after="80" w:line="288" w:lineRule="auto"/>
      </w:pPr>
      <w:r>
        <w:rPr>
          <w:rFonts w:ascii="Calibri" w:hAnsi="Calibri"/>
          <w:i w:val="0"/>
        </w:rPr>
        <w:t>Keep destructive or high-blast-radius actions unavailable unless separately designed, authorized and tested.</w:t>
      </w:r>
    </w:p>
    <w:p>
      <w:pPr>
        <w:spacing w:after="160" w:line="288" w:lineRule="auto"/>
      </w:pPr>
      <w:r>
        <w:rPr>
          <w:rFonts w:ascii="Calibri" w:hAnsi="Calibri"/>
          <w:b/>
        </w:rPr>
        <w:t>Strategic framing:</w:t>
      </w:r>
      <w:r>
        <w:rPr>
          <w:rFonts w:ascii="Calibri" w:hAnsi="Calibri"/>
          <w:i w:val="0"/>
        </w:rPr>
        <w:t xml:space="preserve"> Phase 1 makes Zadara and Sandz knowledge usable. Phase 2 can make selected Zadara operations safely accessible to AI. The second phase should proceed only when evidence from the first phase and a real Zadara test environment justify it.</w:t>
      </w:r>
    </w:p>
    <w:p>
      <w:pPr>
        <w:pStyle w:val="Heading1"/>
      </w:pPr>
      <w:r>
        <w:t>13. Future Roadmap</w:t>
      </w:r>
    </w:p>
    <w:tbl>
      <w:tblPr>
        <w:tblW w:type="dxa" w:w="9360"/>
        <w:jc w:val="left"/>
        <w:tblLayout w:type="fixed"/>
        <w:tblLook w:firstColumn="1" w:firstRow="1" w:lastColumn="0" w:lastRow="0" w:noHBand="0" w:noVBand="1" w:val="04A0"/>
        <w:tblInd w:w="120" w:type="dxa"/>
      </w:tblPr>
      <w:tblGrid>
        <w:gridCol w:w="1080"/>
        <w:gridCol w:w="3000"/>
        <w:gridCol w:w="2220"/>
        <w:gridCol w:w="3060"/>
      </w:tblGrid>
      <w:tr>
        <w:trPr>
          <w:tblHeader w:val="true"/>
        </w:trPr>
        <w:tc>
          <w:tcPr>
            <w:tcW w:type="dxa" w:w="1080"/>
            <w:shd w:fill="17365D"/>
            <w:tcMar>
              <w:top w:w="100" w:type="dxa"/>
              <w:start w:w="120" w:type="dxa"/>
              <w:bottom w:w="100" w:type="dxa"/>
              <w:end w:w="120" w:type="dxa"/>
            </w:tcMar>
          </w:tcPr>
          <w:p>
            <w:pPr>
              <w:keepLines/>
              <w:spacing w:after="60"/>
            </w:pPr>
            <w:r>
              <w:rPr>
                <w:rFonts w:ascii="Calibri" w:hAnsi="Calibri"/>
                <w:b/>
                <w:color w:val="FFFFFF"/>
              </w:rPr>
              <w:t>Phase</w:t>
            </w:r>
          </w:p>
        </w:tc>
        <w:tc>
          <w:tcPr>
            <w:tcW w:type="dxa" w:w="3000"/>
            <w:shd w:fill="17365D"/>
            <w:tcMar>
              <w:top w:w="100" w:type="dxa"/>
              <w:start w:w="120" w:type="dxa"/>
              <w:bottom w:w="100" w:type="dxa"/>
              <w:end w:w="120" w:type="dxa"/>
            </w:tcMar>
          </w:tcPr>
          <w:p>
            <w:pPr>
              <w:keepLines/>
              <w:spacing w:after="60"/>
            </w:pPr>
            <w:r>
              <w:rPr>
                <w:rFonts w:ascii="Calibri" w:hAnsi="Calibri"/>
                <w:b/>
                <w:color w:val="FFFFFF"/>
              </w:rPr>
              <w:t>Capability</w:t>
            </w:r>
          </w:p>
        </w:tc>
        <w:tc>
          <w:tcPr>
            <w:tcW w:type="dxa" w:w="2220"/>
            <w:shd w:fill="17365D"/>
            <w:tcMar>
              <w:top w:w="100" w:type="dxa"/>
              <w:start w:w="120" w:type="dxa"/>
              <w:bottom w:w="100" w:type="dxa"/>
              <w:end w:w="120" w:type="dxa"/>
            </w:tcMar>
          </w:tcPr>
          <w:p>
            <w:pPr>
              <w:keepLines/>
              <w:spacing w:after="60"/>
            </w:pPr>
            <w:r>
              <w:rPr>
                <w:rFonts w:ascii="Calibri" w:hAnsi="Calibri"/>
                <w:b/>
                <w:color w:val="FFFFFF"/>
              </w:rPr>
              <w:t>Live access</w:t>
            </w:r>
          </w:p>
        </w:tc>
        <w:tc>
          <w:tcPr>
            <w:tcW w:type="dxa" w:w="3060"/>
            <w:shd w:fill="17365D"/>
            <w:tcMar>
              <w:top w:w="100" w:type="dxa"/>
              <w:start w:w="120" w:type="dxa"/>
              <w:bottom w:w="100" w:type="dxa"/>
              <w:end w:w="120" w:type="dxa"/>
            </w:tcMar>
          </w:tcPr>
          <w:p>
            <w:pPr>
              <w:keepLines/>
              <w:spacing w:after="60"/>
            </w:pPr>
            <w:r>
              <w:rPr>
                <w:rFonts w:ascii="Calibri" w:hAnsi="Calibri"/>
                <w:b/>
                <w:color w:val="FFFFFF"/>
              </w:rPr>
              <w:t>Primary value</w:t>
            </w:r>
          </w:p>
        </w:tc>
      </w:tr>
      <w:tr>
        <w:tc>
          <w:tcPr>
            <w:tcW w:type="dxa" w:w="1080"/>
            <w:tcMar>
              <w:top w:w="100" w:type="dxa"/>
              <w:start w:w="120" w:type="dxa"/>
              <w:bottom w:w="100" w:type="dxa"/>
              <w:end w:w="120" w:type="dxa"/>
            </w:tcMar>
          </w:tcPr>
          <w:p>
            <w:pPr>
              <w:keepLines/>
              <w:spacing w:after="60"/>
            </w:pPr>
            <w:r>
              <w:rPr>
                <w:rFonts w:ascii="Calibri" w:hAnsi="Calibri"/>
                <w:sz w:val="19"/>
              </w:rPr>
              <w:t>1</w:t>
            </w:r>
          </w:p>
        </w:tc>
        <w:tc>
          <w:tcPr>
            <w:tcW w:type="dxa" w:w="3000"/>
            <w:tcMar>
              <w:top w:w="100" w:type="dxa"/>
              <w:start w:w="120" w:type="dxa"/>
              <w:bottom w:w="100" w:type="dxa"/>
              <w:end w:w="120" w:type="dxa"/>
            </w:tcMar>
          </w:tcPr>
          <w:p>
            <w:pPr>
              <w:keepLines/>
              <w:spacing w:after="60"/>
            </w:pPr>
            <w:r>
              <w:rPr>
                <w:rFonts w:ascii="Calibri" w:hAnsi="Calibri"/>
                <w:sz w:val="19"/>
              </w:rPr>
              <w:t>Knowledge Copilot</w:t>
            </w:r>
          </w:p>
        </w:tc>
        <w:tc>
          <w:tcPr>
            <w:tcW w:type="dxa" w:w="2220"/>
            <w:tcMar>
              <w:top w:w="100" w:type="dxa"/>
              <w:start w:w="120" w:type="dxa"/>
              <w:bottom w:w="100" w:type="dxa"/>
              <w:end w:w="120" w:type="dxa"/>
            </w:tcMar>
          </w:tcPr>
          <w:p>
            <w:pPr>
              <w:keepLines/>
              <w:spacing w:after="60"/>
            </w:pPr>
            <w:r>
              <w:rPr>
                <w:rFonts w:ascii="Calibri" w:hAnsi="Calibri"/>
                <w:sz w:val="19"/>
              </w:rPr>
              <w:t>None</w:t>
            </w:r>
          </w:p>
        </w:tc>
        <w:tc>
          <w:tcPr>
            <w:tcW w:type="dxa" w:w="3060"/>
            <w:tcMar>
              <w:top w:w="100" w:type="dxa"/>
              <w:start w:w="120" w:type="dxa"/>
              <w:bottom w:w="100" w:type="dxa"/>
              <w:end w:w="120" w:type="dxa"/>
            </w:tcMar>
          </w:tcPr>
          <w:p>
            <w:pPr>
              <w:keepLines/>
              <w:spacing w:after="60"/>
            </w:pPr>
            <w:r>
              <w:rPr>
                <w:rFonts w:ascii="Calibri" w:hAnsi="Calibri"/>
                <w:sz w:val="19"/>
              </w:rPr>
              <w:t>Proposal and support productivity</w:t>
            </w:r>
          </w:p>
        </w:tc>
      </w:tr>
      <w:tr>
        <w:tc>
          <w:tcPr>
            <w:tcW w:type="dxa" w:w="1080"/>
            <w:tcMar>
              <w:top w:w="100" w:type="dxa"/>
              <w:start w:w="120" w:type="dxa"/>
              <w:bottom w:w="100" w:type="dxa"/>
              <w:end w:w="120" w:type="dxa"/>
            </w:tcMar>
          </w:tcPr>
          <w:p>
            <w:pPr>
              <w:keepLines/>
              <w:spacing w:after="60"/>
            </w:pPr>
            <w:r>
              <w:rPr>
                <w:rFonts w:ascii="Calibri" w:hAnsi="Calibri"/>
                <w:sz w:val="19"/>
              </w:rPr>
              <w:t>2</w:t>
            </w:r>
          </w:p>
        </w:tc>
        <w:tc>
          <w:tcPr>
            <w:tcW w:type="dxa" w:w="3000"/>
            <w:tcMar>
              <w:top w:w="100" w:type="dxa"/>
              <w:start w:w="120" w:type="dxa"/>
              <w:bottom w:w="100" w:type="dxa"/>
              <w:end w:w="120" w:type="dxa"/>
            </w:tcMar>
          </w:tcPr>
          <w:p>
            <w:pPr>
              <w:keepLines/>
              <w:spacing w:after="60"/>
            </w:pPr>
            <w:r>
              <w:rPr>
                <w:rFonts w:ascii="Calibri" w:hAnsi="Calibri"/>
                <w:sz w:val="19"/>
              </w:rPr>
              <w:t>Read-only observability</w:t>
            </w:r>
          </w:p>
        </w:tc>
        <w:tc>
          <w:tcPr>
            <w:tcW w:type="dxa" w:w="2220"/>
            <w:tcMar>
              <w:top w:w="100" w:type="dxa"/>
              <w:start w:w="120" w:type="dxa"/>
              <w:bottom w:w="100" w:type="dxa"/>
              <w:end w:w="120" w:type="dxa"/>
            </w:tcMar>
          </w:tcPr>
          <w:p>
            <w:pPr>
              <w:keepLines/>
              <w:spacing w:after="60"/>
            </w:pPr>
            <w:r>
              <w:rPr>
                <w:rFonts w:ascii="Calibri" w:hAnsi="Calibri"/>
                <w:sz w:val="19"/>
              </w:rPr>
              <w:t>Selected Zadara API queries</w:t>
            </w:r>
          </w:p>
        </w:tc>
        <w:tc>
          <w:tcPr>
            <w:tcW w:type="dxa" w:w="3060"/>
            <w:tcMar>
              <w:top w:w="100" w:type="dxa"/>
              <w:start w:w="120" w:type="dxa"/>
              <w:bottom w:w="100" w:type="dxa"/>
              <w:end w:w="120" w:type="dxa"/>
            </w:tcMar>
          </w:tcPr>
          <w:p>
            <w:pPr>
              <w:keepLines/>
              <w:spacing w:after="60"/>
            </w:pPr>
            <w:r>
              <w:rPr>
                <w:rFonts w:ascii="Calibri" w:hAnsi="Calibri"/>
                <w:sz w:val="19"/>
              </w:rPr>
              <w:t>Health, capacity and evidence gathering</w:t>
            </w:r>
          </w:p>
        </w:tc>
      </w:tr>
      <w:tr>
        <w:tc>
          <w:tcPr>
            <w:tcW w:type="dxa" w:w="1080"/>
            <w:tcMar>
              <w:top w:w="100" w:type="dxa"/>
              <w:start w:w="120" w:type="dxa"/>
              <w:bottom w:w="100" w:type="dxa"/>
              <w:end w:w="120" w:type="dxa"/>
            </w:tcMar>
          </w:tcPr>
          <w:p>
            <w:pPr>
              <w:keepLines/>
              <w:spacing w:after="60"/>
            </w:pPr>
            <w:r>
              <w:rPr>
                <w:rFonts w:ascii="Calibri" w:hAnsi="Calibri"/>
                <w:sz w:val="19"/>
              </w:rPr>
              <w:t>3</w:t>
            </w:r>
          </w:p>
        </w:tc>
        <w:tc>
          <w:tcPr>
            <w:tcW w:type="dxa" w:w="3000"/>
            <w:tcMar>
              <w:top w:w="100" w:type="dxa"/>
              <w:start w:w="120" w:type="dxa"/>
              <w:bottom w:w="100" w:type="dxa"/>
              <w:end w:w="120" w:type="dxa"/>
            </w:tcMar>
          </w:tcPr>
          <w:p>
            <w:pPr>
              <w:keepLines/>
              <w:spacing w:after="60"/>
            </w:pPr>
            <w:r>
              <w:rPr>
                <w:rFonts w:ascii="Calibri" w:hAnsi="Calibri"/>
                <w:sz w:val="19"/>
              </w:rPr>
              <w:t>Governed operations</w:t>
            </w:r>
          </w:p>
        </w:tc>
        <w:tc>
          <w:tcPr>
            <w:tcW w:type="dxa" w:w="2220"/>
            <w:tcMar>
              <w:top w:w="100" w:type="dxa"/>
              <w:start w:w="120" w:type="dxa"/>
              <w:bottom w:w="100" w:type="dxa"/>
              <w:end w:w="120" w:type="dxa"/>
            </w:tcMar>
          </w:tcPr>
          <w:p>
            <w:pPr>
              <w:keepLines/>
              <w:spacing w:after="60"/>
            </w:pPr>
            <w:r>
              <w:rPr>
                <w:rFonts w:ascii="Calibri" w:hAnsi="Calibri"/>
                <w:sz w:val="19"/>
              </w:rPr>
              <w:t>Approved narrow actions</w:t>
            </w:r>
          </w:p>
        </w:tc>
        <w:tc>
          <w:tcPr>
            <w:tcW w:type="dxa" w:w="3060"/>
            <w:tcMar>
              <w:top w:w="100" w:type="dxa"/>
              <w:start w:w="120" w:type="dxa"/>
              <w:bottom w:w="100" w:type="dxa"/>
              <w:end w:w="120" w:type="dxa"/>
            </w:tcMar>
          </w:tcPr>
          <w:p>
            <w:pPr>
              <w:keepLines/>
              <w:spacing w:after="60"/>
            </w:pPr>
            <w:r>
              <w:rPr>
                <w:rFonts w:ascii="Calibri" w:hAnsi="Calibri"/>
                <w:sz w:val="19"/>
              </w:rPr>
              <w:t>Assisted administration with human approval</w:t>
            </w:r>
          </w:p>
        </w:tc>
      </w:tr>
      <w:tr>
        <w:tc>
          <w:tcPr>
            <w:tcW w:type="dxa" w:w="1080"/>
            <w:tcMar>
              <w:top w:w="100" w:type="dxa"/>
              <w:start w:w="120" w:type="dxa"/>
              <w:bottom w:w="100" w:type="dxa"/>
              <w:end w:w="120" w:type="dxa"/>
            </w:tcMar>
          </w:tcPr>
          <w:p>
            <w:pPr>
              <w:keepLines/>
              <w:spacing w:after="60"/>
            </w:pPr>
            <w:r>
              <w:rPr>
                <w:rFonts w:ascii="Calibri" w:hAnsi="Calibri"/>
                <w:sz w:val="19"/>
              </w:rPr>
              <w:t>4</w:t>
            </w:r>
          </w:p>
        </w:tc>
        <w:tc>
          <w:tcPr>
            <w:tcW w:type="dxa" w:w="3000"/>
            <w:tcMar>
              <w:top w:w="100" w:type="dxa"/>
              <w:start w:w="120" w:type="dxa"/>
              <w:bottom w:w="100" w:type="dxa"/>
              <w:end w:w="120" w:type="dxa"/>
            </w:tcMar>
          </w:tcPr>
          <w:p>
            <w:pPr>
              <w:keepLines/>
              <w:spacing w:after="60"/>
            </w:pPr>
            <w:r>
              <w:rPr>
                <w:rFonts w:ascii="Calibri" w:hAnsi="Calibri"/>
                <w:sz w:val="19"/>
              </w:rPr>
              <w:t>Multi-vendor operations layer</w:t>
            </w:r>
          </w:p>
        </w:tc>
        <w:tc>
          <w:tcPr>
            <w:tcW w:type="dxa" w:w="2220"/>
            <w:tcMar>
              <w:top w:w="100" w:type="dxa"/>
              <w:start w:w="120" w:type="dxa"/>
              <w:bottom w:w="100" w:type="dxa"/>
              <w:end w:w="120" w:type="dxa"/>
            </w:tcMar>
          </w:tcPr>
          <w:p>
            <w:pPr>
              <w:keepLines/>
              <w:spacing w:after="60"/>
            </w:pPr>
            <w:r>
              <w:rPr>
                <w:rFonts w:ascii="Calibri" w:hAnsi="Calibri"/>
                <w:sz w:val="19"/>
              </w:rPr>
              <w:t>Zadara plus other vendor adapters</w:t>
            </w:r>
          </w:p>
        </w:tc>
        <w:tc>
          <w:tcPr>
            <w:tcW w:type="dxa" w:w="3060"/>
            <w:tcMar>
              <w:top w:w="100" w:type="dxa"/>
              <w:start w:w="120" w:type="dxa"/>
              <w:bottom w:w="100" w:type="dxa"/>
              <w:end w:w="120" w:type="dxa"/>
            </w:tcMar>
          </w:tcPr>
          <w:p>
            <w:pPr>
              <w:keepLines/>
              <w:spacing w:after="60"/>
            </w:pPr>
            <w:r>
              <w:rPr>
                <w:rFonts w:ascii="Calibri" w:hAnsi="Calibri"/>
                <w:sz w:val="19"/>
              </w:rPr>
              <w:t>Normalized Sandz service across platforms</w:t>
            </w:r>
          </w:p>
        </w:tc>
      </w:tr>
    </w:tbl>
    <w:p>
      <w:pPr>
        <w:pStyle w:val="Heading1"/>
      </w:pPr>
      <w:r>
        <w:t>14. Requested Next Steps</w:t>
      </w:r>
    </w:p>
    <w:p>
      <w:pPr>
        <w:pStyle w:val="ListNumber"/>
        <w:spacing w:after="100" w:line="290" w:lineRule="auto"/>
      </w:pPr>
      <w:r>
        <w:rPr>
          <w:rFonts w:ascii="Calibri" w:hAnsi="Calibri"/>
        </w:rPr>
        <w:t>Nominate a Sandz executive sponsor and a small pilot group from sales, solution architecture and support.</w:t>
      </w:r>
    </w:p>
    <w:p>
      <w:pPr>
        <w:pStyle w:val="ListNumber"/>
        <w:spacing w:after="100" w:line="290" w:lineRule="auto"/>
      </w:pPr>
      <w:r>
        <w:rPr>
          <w:rFonts w:ascii="Calibri" w:hAnsi="Calibri"/>
        </w:rPr>
        <w:t>Select an initial document corpus and confirm content ownership, confidentiality and Zadara permissions.</w:t>
      </w:r>
    </w:p>
    <w:p>
      <w:pPr>
        <w:pStyle w:val="ListNumber"/>
        <w:spacing w:after="100" w:line="290" w:lineRule="auto"/>
      </w:pPr>
      <w:r>
        <w:rPr>
          <w:rFonts w:ascii="Calibri" w:hAnsi="Calibri"/>
        </w:rPr>
        <w:t>Choose five representative proposal questions and five complaint-resolution scenarios.</w:t>
      </w:r>
    </w:p>
    <w:p>
      <w:pPr>
        <w:pStyle w:val="ListNumber"/>
        <w:spacing w:after="100" w:line="290" w:lineRule="auto"/>
      </w:pPr>
      <w:r>
        <w:rPr>
          <w:rFonts w:ascii="Calibri" w:hAnsi="Calibri"/>
        </w:rPr>
        <w:t>Conduct a short technical and governance workshop with Sandz; invite Zadara to validate content use and product claims.</w:t>
      </w:r>
    </w:p>
    <w:p>
      <w:pPr>
        <w:pStyle w:val="ListNumber"/>
        <w:spacing w:after="100" w:line="290" w:lineRule="auto"/>
      </w:pPr>
      <w:r>
        <w:rPr>
          <w:rFonts w:ascii="Calibri" w:hAnsi="Calibri"/>
        </w:rPr>
        <w:t>Agree pilot terms, success measures and a four-week start date.</w:t>
      </w:r>
    </w:p>
    <w:p>
      <w:pPr>
        <w:pStyle w:val="ListNumber"/>
        <w:spacing w:after="100" w:line="290" w:lineRule="auto"/>
      </w:pPr>
      <w:r>
        <w:rPr>
          <w:rFonts w:ascii="Calibri" w:hAnsi="Calibri"/>
        </w:rPr>
        <w:t>Hold a joint evidence review and decide whether to deploy internally, package for customers or proceed to a read-only API/MCP phase.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8F1ED"/>
          </w:tcPr>
          <w:p>
            <w:pPr>
              <w:keepLines/>
              <w:spacing w:after="60"/>
            </w:pPr>
            <w:r>
              <w:rPr>
                <w:rFonts w:ascii="Calibri" w:hAnsi="Calibri"/>
                <w:b/>
                <w:color w:val="2E74B5"/>
                <w:sz w:val="18"/>
              </w:rPr>
              <w:t>DECISION REQUESTED</w:t>
            </w:r>
          </w:p>
          <w:p>
            <w:pPr>
              <w:keepLines/>
              <w:spacing w:after="60" w:line="276" w:lineRule="auto"/>
            </w:pPr>
            <w:r>
              <w:rPr>
                <w:rFonts w:ascii="Calibri" w:hAnsi="Calibri"/>
                <w:b/>
                <w:color w:val="17365D"/>
                <w:sz w:val="22"/>
              </w:rPr>
              <w:t>Authorize a bounded four-week discovery and pilot-design engagement for the Zadara Knowledge Copilot, subject to content permission and mutually agreed commercial terms.</w:t>
            </w:r>
          </w:p>
        </w:tc>
      </w:tr>
    </w:tbl>
    <w:p>
      <w:pPr>
        <w:spacing w:after="40"/>
      </w:pPr>
    </w:p>
    <w:p>
      <w:pPr>
        <w:pStyle w:val="Heading1"/>
      </w:pPr>
      <w:r>
        <w:t>Appendix A. Illustrative Demonstration Questions</w:t>
      </w:r>
    </w:p>
    <w:p>
      <w:pPr>
        <w:pStyle w:val="ListBullet"/>
        <w:spacing w:after="80" w:line="290" w:lineRule="auto"/>
      </w:pPr>
      <w:r>
        <w:rPr>
          <w:rFonts w:ascii="Calibri" w:hAnsi="Calibri"/>
        </w:rPr>
        <w:t>Prepare the technical outline for a sovereign storage proposal for a regulated Philippine customer.</w:t>
      </w:r>
    </w:p>
    <w:p>
      <w:pPr>
        <w:pStyle w:val="ListBullet"/>
        <w:spacing w:after="80" w:line="290" w:lineRule="auto"/>
      </w:pPr>
      <w:r>
        <w:rPr>
          <w:rFonts w:ascii="Calibri" w:hAnsi="Calibri"/>
        </w:rPr>
        <w:t>What questions must we ask before sizing 500 TB of usable object storage for growth to 1 PB?</w:t>
      </w:r>
    </w:p>
    <w:p>
      <w:pPr>
        <w:pStyle w:val="ListBullet"/>
        <w:spacing w:after="80" w:line="290" w:lineRule="auto"/>
      </w:pPr>
      <w:r>
        <w:rPr>
          <w:rFonts w:ascii="Calibri" w:hAnsi="Calibri"/>
        </w:rPr>
        <w:t>Compare on-premises, hybrid and cloud deployment approaches using approved Zadara sources.</w:t>
      </w:r>
    </w:p>
    <w:p>
      <w:pPr>
        <w:pStyle w:val="ListBullet"/>
        <w:spacing w:after="80" w:line="290" w:lineRule="auto"/>
      </w:pPr>
      <w:r>
        <w:rPr>
          <w:rFonts w:ascii="Calibri" w:hAnsi="Calibri"/>
        </w:rPr>
        <w:t>A customer reports slower object uploads after adding capacity. Produce a diagnostic plan and identify missing evidence.</w:t>
      </w:r>
    </w:p>
    <w:p>
      <w:pPr>
        <w:pStyle w:val="ListBullet"/>
        <w:spacing w:after="80" w:line="290" w:lineRule="auto"/>
      </w:pPr>
      <w:r>
        <w:rPr>
          <w:rFonts w:ascii="Calibri" w:hAnsi="Calibri"/>
        </w:rPr>
        <w:t>What known limitations in the applicable release could affect this configuration?</w:t>
      </w:r>
    </w:p>
    <w:p>
      <w:pPr>
        <w:pStyle w:val="ListBullet"/>
        <w:spacing w:after="80" w:line="290" w:lineRule="auto"/>
      </w:pPr>
      <w:r>
        <w:rPr>
          <w:rFonts w:ascii="Calibri" w:hAnsi="Calibri"/>
        </w:rPr>
        <w:t>Draft a customer-safe status update and a Zadara escalation package based on these symptoms and logs.</w:t>
      </w:r>
    </w:p>
    <w:p>
      <w:pPr>
        <w:pStyle w:val="Heading1"/>
      </w:pPr>
      <w:r>
        <w:t>Appendix B. Public Reference Sources</w:t>
      </w:r>
    </w:p>
    <w:p>
      <w:pPr>
        <w:spacing w:after="100"/>
      </w:pPr>
      <w:r>
        <w:rPr>
          <w:rFonts w:ascii="Calibri" w:hAnsi="Calibri"/>
          <w:b/>
          <w:color w:val="17365D"/>
        </w:rPr>
        <w:t xml:space="preserve">Sandz: Zadara Tech Tour Manila 2025: </w:t>
      </w:r>
      <w:r>
        <w:rPr>
          <w:rFonts w:ascii="Calibri" w:hAnsi="Calibri"/>
          <w:color w:val="2E74B5"/>
          <w:sz w:val="19"/>
        </w:rPr>
        <w:t>https://sandz.com/zadara-tech-tour-manila-2025-empowers-it-professionals-with-sovereign-edge-and-ai-cloud-infrastructure-training-and-certification/</w:t>
      </w:r>
    </w:p>
    <w:p>
      <w:pPr>
        <w:spacing w:after="100"/>
      </w:pPr>
      <w:r>
        <w:rPr>
          <w:rFonts w:ascii="Calibri" w:hAnsi="Calibri"/>
          <w:b/>
          <w:color w:val="17365D"/>
        </w:rPr>
        <w:t xml:space="preserve">Sandz: Infrastructure Modernization: </w:t>
      </w:r>
      <w:r>
        <w:rPr>
          <w:rFonts w:ascii="Calibri" w:hAnsi="Calibri"/>
          <w:color w:val="2E74B5"/>
          <w:sz w:val="19"/>
        </w:rPr>
        <w:t>https://sandz.com/our-solutions/infrastructure-modernization/</w:t>
      </w:r>
    </w:p>
    <w:p>
      <w:pPr>
        <w:spacing w:after="100"/>
      </w:pPr>
      <w:r>
        <w:rPr>
          <w:rFonts w:ascii="Calibri" w:hAnsi="Calibri"/>
          <w:b/>
          <w:color w:val="17365D"/>
        </w:rPr>
        <w:t xml:space="preserve">Zadara: Guides and Product Documentation: </w:t>
      </w:r>
      <w:r>
        <w:rPr>
          <w:rFonts w:ascii="Calibri" w:hAnsi="Calibri"/>
          <w:color w:val="2E74B5"/>
          <w:sz w:val="19"/>
        </w:rPr>
        <w:t>https://guides.zadarastorage.com/</w:t>
      </w:r>
    </w:p>
    <w:p>
      <w:pPr>
        <w:spacing w:after="100"/>
      </w:pPr>
      <w:r>
        <w:rPr>
          <w:rFonts w:ascii="Calibri" w:hAnsi="Calibri"/>
          <w:b/>
          <w:color w:val="17365D"/>
        </w:rPr>
        <w:t xml:space="preserve">Zadara: zStorage Command Center Administrator Guide: </w:t>
      </w:r>
      <w:r>
        <w:rPr>
          <w:rFonts w:ascii="Calibri" w:hAnsi="Calibri"/>
          <w:color w:val="2E74B5"/>
          <w:sz w:val="19"/>
        </w:rPr>
        <w:t>https://guides.zadara.com/admin-guide/latest/</w:t>
      </w:r>
    </w:p>
    <w:p>
      <w:pPr>
        <w:spacing w:after="100"/>
      </w:pPr>
      <w:r>
        <w:rPr>
          <w:rFonts w:ascii="Calibri" w:hAnsi="Calibri"/>
          <w:b/>
          <w:color w:val="17365D"/>
        </w:rPr>
        <w:t xml:space="preserve">Zadara: Enterprise zStorage Overview: </w:t>
      </w:r>
      <w:r>
        <w:rPr>
          <w:rFonts w:ascii="Calibri" w:hAnsi="Calibri"/>
          <w:color w:val="2E74B5"/>
          <w:sz w:val="19"/>
        </w:rPr>
        <w:t>https://www.zadara.com/solutions/zstorage/</w:t>
      </w:r>
    </w:p>
    <w:p>
      <w:pPr>
        <w:spacing w:after="100" w:line="288" w:lineRule="auto"/>
      </w:pPr>
      <w:r>
        <w:rPr>
          <w:rFonts w:ascii="Calibri" w:hAnsi="Calibri"/>
          <w:i w:val="0"/>
        </w:rPr>
      </w:r>
      <w:r>
        <w:rPr>
          <w:rFonts w:ascii="Calibri" w:hAnsi="Calibri"/>
          <w:b/>
          <w:color w:val="17365D"/>
        </w:rPr>
        <w:t xml:space="preserve">Zadara: VPSA REST API Reference (version 23.03 landing page): </w:t>
      </w:r>
      <w:r>
        <w:rPr>
          <w:rFonts w:ascii="Calibri" w:hAnsi="Calibri"/>
          <w:color w:val="2E74B5"/>
          <w:sz w:val="19"/>
        </w:rPr>
        <w:t>https://vpsa-api.zadarastorage.com/</w:t>
      </w:r>
    </w:p>
    <w:p>
      <w:pPr>
        <w:spacing w:after="100" w:line="288" w:lineRule="auto"/>
      </w:pPr>
      <w:r>
        <w:rPr>
          <w:rFonts w:ascii="Calibri" w:hAnsi="Calibri"/>
          <w:i w:val="0"/>
        </w:rPr>
      </w:r>
      <w:r>
        <w:rPr>
          <w:rFonts w:ascii="Calibri" w:hAnsi="Calibri"/>
          <w:b/>
          <w:color w:val="17365D"/>
        </w:rPr>
        <w:t xml:space="preserve">Zadara: VPSA Local Users, Roles and Access Keys: </w:t>
      </w:r>
      <w:r>
        <w:rPr>
          <w:rFonts w:ascii="Calibri" w:hAnsi="Calibri"/>
          <w:color w:val="2E74B5"/>
          <w:sz w:val="19"/>
        </w:rPr>
        <w:t>https://guides.zadarastorage.com/vpsa-guide/latest/local-users.html</w:t>
      </w:r>
    </w:p>
    <w:p>
      <w:pPr>
        <w:spacing w:after="160" w:line="288" w:lineRule="auto"/>
      </w:pPr>
      <w:r>
        <w:rPr>
          <w:rFonts w:ascii="Calibri" w:hAnsi="Calibri"/>
          <w:i/>
        </w:rPr>
        <w:t>Note: Public references support the opportunity framing only. Product claims, licensing, configuration guidance and current platform capabilities should be validated with Zadara before external customer use.</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7"/>
      </w:rPr>
      <w:t>KBSANDBOX  |  SANDZ + ZADARA DISCUSSION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2028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9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Zadara Knowledge Copilot - Joint Solution Proposal</dc:title>
  <dc:subject>Proposal for a phased Sandz and Zadara knowledge copilot and future governed VPSA MCP server</dc:subject>
  <dc:creator>Mike Abundo / kbSandbox</dc:creator>
  <cp:keywords>kbSandbox, Sandz, Zadara, knowledge copilot, sovereign AI, storage</cp:keywords>
  <dc:description>Version 1.1 expands participant benefits, reusable MCP offering potential, and commercial ownership questions.</dc:description>
  <cp:lastModifiedBy/>
  <cp:revision>1</cp:revision>
  <dcterms:created xsi:type="dcterms:W3CDTF">2013-12-23T23:15:00Z</dcterms:created>
  <dcterms:modified xsi:type="dcterms:W3CDTF">2013-12-23T23:15:00Z</dcterms:modified>
  <cp:category/>
  <cp:version>1.1</cp:version>
</cp:coreProperties>
</file>