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80"/>
      </w:pPr>
      <w:r>
        <w:rPr>
          <w:rFonts w:ascii="Calibri" w:hAnsi="Calibri"/>
          <w:b/>
          <w:i w:val="0"/>
          <w:color w:val="17365D"/>
          <w:sz w:val="52"/>
        </w:rPr>
        <w:t>Philippine Science High School Filipino Street-Food AI Hackathon</w:t>
      </w:r>
    </w:p>
    <w:p>
      <w:pPr>
        <w:spacing w:after="80"/>
      </w:pPr>
      <w:r>
        <w:rPr>
          <w:rFonts w:ascii="Calibri" w:hAnsi="Calibri"/>
          <w:b/>
          <w:i w:val="0"/>
          <w:color w:val="C58A00"/>
          <w:sz w:val="19"/>
        </w:rPr>
        <w:t>A PHILIPPINE BUILDER ECOSYSTEM FOR TRUSTED, DEPLOYABLE AI</w:t>
      </w:r>
    </w:p>
    <w:p>
      <w:pPr>
        <w:spacing w:after="360"/>
      </w:pPr>
      <w:r>
        <w:rPr>
          <w:rFonts w:ascii="Calibri" w:hAnsi="Calibri"/>
          <w:b w:val="0"/>
          <w:i w:val="0"/>
          <w:color w:val="5F6B7A"/>
          <w:sz w:val="26"/>
        </w:rPr>
        <w:t>Students design, govern, build and demonstrate a portable fishball-stand agent—then connect it to Ember or an application of their own.</w:t>
      </w:r>
    </w:p>
    <w:tbl>
      <w:tblPr>
        <w:tblW w:type="auto" w:w="0"/>
        <w:jc w:val="center"/>
        <w:tblLayout w:type="fixed"/>
        <w:tblLook w:firstColumn="1" w:firstRow="1" w:lastColumn="0" w:lastRow="0" w:noHBand="0" w:noVBand="1" w:val="04A0"/>
      </w:tblPr>
      <w:tblGrid>
        <w:gridCol w:w="9360"/>
      </w:tblGrid>
      <w:tr>
        <w:tc>
          <w:tcPr>
            <w:tcW w:type="dxa" w:w="9360"/>
            <w:shd w:fill="E8EEF5"/>
            <w:tcMar>
              <w:top w:w="140" w:type="dxa"/>
              <w:start w:w="180" w:type="dxa"/>
              <w:bottom w:w="140" w:type="dxa"/>
              <w:end w:w="180" w:type="dxa"/>
            </w:tcMar>
          </w:tcPr>
          <w:p>
            <w:pPr>
              <w:spacing w:after="80"/>
            </w:pPr>
            <w:r>
              <w:rPr>
                <w:rFonts w:ascii="Calibri" w:hAnsi="Calibri"/>
                <w:b/>
                <w:i w:val="0"/>
                <w:color w:val="17365D"/>
                <w:sz w:val="22"/>
              </w:rPr>
              <w:t>Proposal at a glance</w:t>
            </w:r>
          </w:p>
          <w:p>
            <w:pPr>
              <w:spacing w:after="0"/>
            </w:pPr>
            <w:r>
              <w:rPr>
                <w:rFonts w:ascii="Calibri" w:hAnsi="Calibri"/>
                <w:b w:val="0"/>
                <w:i w:val="0"/>
                <w:color w:val="000000"/>
                <w:sz w:val="21"/>
              </w:rPr>
              <w:t>A supervised student hackathon using KB Sandbox for evidence-led requirements, architecture, safety and evaluation; assisted coding tools for implementation; Sandz infrastructure for deployment; and a prominent fishball-stand showcase near Sandz in the Ayala area of Makati as the proposed winning deployment opportunity.</w:t>
            </w:r>
          </w:p>
        </w:tc>
      </w:tr>
    </w:tbl>
    <w:p>
      <w:pPr>
        <w:spacing w:after="20"/>
      </w:pPr>
    </w:p>
    <w:p>
      <w:pPr>
        <w:pStyle w:val="Heading1"/>
      </w:pPr>
      <w:r>
        <w:t>1. Purpose</w:t>
      </w:r>
    </w:p>
    <w:p>
      <w:r>
        <w:rPr>
          <w:rFonts w:ascii="Calibri" w:hAnsi="Calibri"/>
          <w:b w:val="0"/>
          <w:i w:val="0"/>
          <w:color w:val="000000"/>
          <w:sz w:val="22"/>
        </w:rPr>
        <w:t>The hackathon gives Philippine Science High School students practical experience with the skills becoming central to AI-enabled software development: precise requirements, evidence gathering, architecture, tool contracts, privacy, human approval, testing and critical evaluation—not merely generating code.</w:t>
      </w:r>
    </w:p>
    <w:p>
      <w:r>
        <w:rPr>
          <w:rFonts w:ascii="Calibri" w:hAnsi="Calibri"/>
          <w:b w:val="0"/>
          <w:i w:val="0"/>
          <w:color w:val="000000"/>
          <w:sz w:val="22"/>
        </w:rPr>
        <w:t>The challenge is intentionally familiar and local. Teams make a Filipino street-food outlet AI-ready, beginning with fishballs and potentially extending to kwek-kwek, squid balls, kikiam, sauces and drinks. The resulting service must be portable: Ember is one client, while student-built web, mobile, kiosk or messaging applications may call the same agent or MCP server.</w:t>
      </w:r>
    </w:p>
    <w:p>
      <w:pPr>
        <w:pStyle w:val="Heading1"/>
      </w:pPr>
      <w:r>
        <w:t>2. Proposed organizers and beneficiaries</w:t>
      </w:r>
    </w:p>
    <w:tbl>
      <w:tblPr>
        <w:tblW w:type="auto" w:w="0"/>
        <w:jc w:val="center"/>
        <w:tblLayout w:type="fixed"/>
        <w:tblLook w:firstColumn="1" w:firstRow="1" w:lastColumn="0" w:lastRow="0" w:noHBand="0" w:noVBand="1" w:val="04A0"/>
      </w:tblPr>
      <w:tblGrid>
        <w:gridCol w:w="4680"/>
        <w:gridCol w:w="4680"/>
      </w:tblGrid>
      <w:tr>
        <w:trPr>
          <w:tblHeader w:val="true"/>
          <w:cantSplit w:val="true"/>
        </w:trPr>
        <w:tc>
          <w:tcPr>
            <w:tcW w:type="dxa" w:w="2880"/>
            <w:shd w:fill="E8EEF5"/>
            <w:tcMar>
              <w:top w:w="100" w:type="dxa"/>
              <w:start w:w="120" w:type="dxa"/>
              <w:bottom w:w="100" w:type="dxa"/>
              <w:end w:w="120" w:type="dxa"/>
            </w:tcMar>
          </w:tcPr>
          <w:p>
            <w:pPr>
              <w:spacing w:after="0" w:line="252" w:lineRule="auto"/>
            </w:pPr>
            <w:r>
              <w:rPr>
                <w:rFonts w:ascii="Calibri" w:hAnsi="Calibri"/>
                <w:b/>
                <w:i w:val="0"/>
                <w:color w:val="17365D"/>
                <w:sz w:val="19"/>
              </w:rPr>
              <w:t>Participant</w:t>
            </w:r>
          </w:p>
        </w:tc>
        <w:tc>
          <w:tcPr>
            <w:tcW w:type="dxa" w:w="6480"/>
            <w:shd w:fill="E8EEF5"/>
            <w:tcMar>
              <w:top w:w="100" w:type="dxa"/>
              <w:start w:w="120" w:type="dxa"/>
              <w:bottom w:w="100" w:type="dxa"/>
              <w:end w:w="120" w:type="dxa"/>
            </w:tcMar>
          </w:tcPr>
          <w:p>
            <w:pPr>
              <w:spacing w:after="0" w:line="252" w:lineRule="auto"/>
            </w:pPr>
            <w:r>
              <w:rPr>
                <w:rFonts w:ascii="Calibri" w:hAnsi="Calibri"/>
                <w:b/>
                <w:i w:val="0"/>
                <w:color w:val="17365D"/>
                <w:sz w:val="19"/>
              </w:rPr>
              <w:t>Proposed role</w:t>
            </w:r>
          </w:p>
        </w:tc>
      </w:tr>
      <w:tr>
        <w:trPr>
          <w:cantSplit w:val="true"/>
        </w:trPr>
        <w:tc>
          <w:tcPr>
            <w:tcW w:type="dxa" w:w="2880"/>
            <w:vAlign w:val="top"/>
            <w:tcMar>
              <w:top w:w="100" w:type="dxa"/>
              <w:start w:w="120" w:type="dxa"/>
              <w:bottom w:w="100" w:type="dxa"/>
              <w:end w:w="120" w:type="dxa"/>
            </w:tcMar>
          </w:tcPr>
          <w:p>
            <w:pPr>
              <w:spacing w:after="0" w:line="252" w:lineRule="auto"/>
            </w:pPr>
            <w:r>
              <w:rPr>
                <w:rFonts w:ascii="Calibri" w:hAnsi="Calibri"/>
                <w:b w:val="0"/>
                <w:i w:val="0"/>
                <w:color w:val="000000"/>
                <w:sz w:val="19"/>
              </w:rPr>
              <w:t>Philippine Science High School</w:t>
            </w:r>
          </w:p>
        </w:tc>
        <w:tc>
          <w:tcPr>
            <w:tcW w:type="dxa" w:w="6480"/>
            <w:vAlign w:val="top"/>
            <w:tcMar>
              <w:top w:w="100" w:type="dxa"/>
              <w:start w:w="120" w:type="dxa"/>
              <w:bottom w:w="100" w:type="dxa"/>
              <w:end w:w="120" w:type="dxa"/>
            </w:tcMar>
          </w:tcPr>
          <w:p>
            <w:pPr>
              <w:spacing w:after="0" w:line="252" w:lineRule="auto"/>
            </w:pPr>
            <w:r>
              <w:rPr>
                <w:rFonts w:ascii="Calibri" w:hAnsi="Calibri"/>
                <w:b w:val="0"/>
                <w:i w:val="0"/>
                <w:color w:val="000000"/>
                <w:sz w:val="19"/>
              </w:rPr>
              <w:t>Student participation, faculty supervision, safeguarding and academic alignment</w:t>
            </w:r>
          </w:p>
        </w:tc>
      </w:tr>
      <w:tr>
        <w:trPr>
          <w:cantSplit w:val="true"/>
        </w:trPr>
        <w:tc>
          <w:tcPr>
            <w:tcW w:type="dxa" w:w="2880"/>
            <w:vAlign w:val="top"/>
            <w:tcMar>
              <w:top w:w="100" w:type="dxa"/>
              <w:start w:w="120" w:type="dxa"/>
              <w:bottom w:w="100" w:type="dxa"/>
              <w:end w:w="120" w:type="dxa"/>
            </w:tcMar>
          </w:tcPr>
          <w:p>
            <w:pPr>
              <w:spacing w:after="0" w:line="252" w:lineRule="auto"/>
            </w:pPr>
            <w:r>
              <w:rPr>
                <w:rFonts w:ascii="Calibri" w:hAnsi="Calibri"/>
                <w:b w:val="0"/>
                <w:i w:val="0"/>
                <w:color w:val="000000"/>
                <w:sz w:val="19"/>
              </w:rPr>
              <w:t>Sandz</w:t>
            </w:r>
          </w:p>
        </w:tc>
        <w:tc>
          <w:tcPr>
            <w:tcW w:type="dxa" w:w="6480"/>
            <w:vAlign w:val="top"/>
            <w:tcMar>
              <w:top w:w="100" w:type="dxa"/>
              <w:start w:w="120" w:type="dxa"/>
              <w:bottom w:w="100" w:type="dxa"/>
              <w:end w:w="120" w:type="dxa"/>
            </w:tcMar>
          </w:tcPr>
          <w:p>
            <w:pPr>
              <w:spacing w:after="0" w:line="252" w:lineRule="auto"/>
            </w:pPr>
            <w:r>
              <w:rPr>
                <w:rFonts w:ascii="Calibri" w:hAnsi="Calibri"/>
                <w:b w:val="0"/>
                <w:i w:val="0"/>
                <w:color w:val="000000"/>
                <w:sz w:val="19"/>
              </w:rPr>
              <w:t>Programme sponsor, infrastructure partner, mentor access and showcase location coordination</w:t>
            </w:r>
          </w:p>
        </w:tc>
      </w:tr>
      <w:tr>
        <w:trPr>
          <w:cantSplit w:val="true"/>
        </w:trPr>
        <w:tc>
          <w:tcPr>
            <w:tcW w:type="dxa" w:w="2880"/>
            <w:vAlign w:val="top"/>
            <w:tcMar>
              <w:top w:w="100" w:type="dxa"/>
              <w:start w:w="120" w:type="dxa"/>
              <w:bottom w:w="100" w:type="dxa"/>
              <w:end w:w="120" w:type="dxa"/>
            </w:tcMar>
          </w:tcPr>
          <w:p>
            <w:pPr>
              <w:spacing w:after="0" w:line="252" w:lineRule="auto"/>
            </w:pPr>
            <w:r>
              <w:rPr>
                <w:rFonts w:ascii="Calibri" w:hAnsi="Calibri"/>
                <w:b w:val="0"/>
                <w:i w:val="0"/>
                <w:color w:val="000000"/>
                <w:sz w:val="19"/>
              </w:rPr>
              <w:t>KB Sandbox</w:t>
            </w:r>
          </w:p>
        </w:tc>
        <w:tc>
          <w:tcPr>
            <w:tcW w:type="dxa" w:w="6480"/>
            <w:vAlign w:val="top"/>
            <w:tcMar>
              <w:top w:w="100" w:type="dxa"/>
              <w:start w:w="120" w:type="dxa"/>
              <w:bottom w:w="100" w:type="dxa"/>
              <w:end w:w="120" w:type="dxa"/>
            </w:tcMar>
          </w:tcPr>
          <w:p>
            <w:pPr>
              <w:spacing w:after="0" w:line="252" w:lineRule="auto"/>
            </w:pPr>
            <w:r>
              <w:rPr>
                <w:rFonts w:ascii="Calibri" w:hAnsi="Calibri"/>
                <w:b w:val="0"/>
                <w:i w:val="0"/>
                <w:color w:val="000000"/>
                <w:sz w:val="19"/>
              </w:rPr>
              <w:t>Foundation knowledge, Methods, Project workspace, evidence governance, evaluation and Ember demonstration interface</w:t>
            </w:r>
          </w:p>
        </w:tc>
      </w:tr>
      <w:tr>
        <w:trPr>
          <w:cantSplit w:val="true"/>
        </w:trPr>
        <w:tc>
          <w:tcPr>
            <w:tcW w:type="dxa" w:w="2880"/>
            <w:vAlign w:val="top"/>
            <w:tcMar>
              <w:top w:w="100" w:type="dxa"/>
              <w:start w:w="120" w:type="dxa"/>
              <w:bottom w:w="100" w:type="dxa"/>
              <w:end w:w="120" w:type="dxa"/>
            </w:tcMar>
          </w:tcPr>
          <w:p>
            <w:pPr>
              <w:spacing w:after="0" w:line="252" w:lineRule="auto"/>
            </w:pPr>
            <w:r>
              <w:rPr>
                <w:rFonts w:ascii="Calibri" w:hAnsi="Calibri"/>
                <w:b w:val="0"/>
                <w:i w:val="0"/>
                <w:color w:val="000000"/>
                <w:sz w:val="19"/>
              </w:rPr>
              <w:t>Local software builders</w:t>
            </w:r>
          </w:p>
        </w:tc>
        <w:tc>
          <w:tcPr>
            <w:tcW w:type="dxa" w:w="6480"/>
            <w:vAlign w:val="top"/>
            <w:tcMar>
              <w:top w:w="100" w:type="dxa"/>
              <w:start w:w="120" w:type="dxa"/>
              <w:bottom w:w="100" w:type="dxa"/>
              <w:end w:w="120" w:type="dxa"/>
            </w:tcMar>
          </w:tcPr>
          <w:p>
            <w:pPr>
              <w:spacing w:after="0" w:line="252" w:lineRule="auto"/>
            </w:pPr>
            <w:r>
              <w:rPr>
                <w:rFonts w:ascii="Calibri" w:hAnsi="Calibri"/>
                <w:b w:val="0"/>
                <w:i w:val="0"/>
                <w:color w:val="000000"/>
                <w:sz w:val="19"/>
              </w:rPr>
              <w:t>Mentoring, API/MCP review, implementation coaching and potential apprenticeship pathways</w:t>
            </w:r>
          </w:p>
        </w:tc>
      </w:tr>
      <w:tr>
        <w:trPr>
          <w:cantSplit w:val="true"/>
        </w:trPr>
        <w:tc>
          <w:tcPr>
            <w:tcW w:type="dxa" w:w="2880"/>
            <w:vAlign w:val="top"/>
            <w:tcMar>
              <w:top w:w="100" w:type="dxa"/>
              <w:start w:w="120" w:type="dxa"/>
              <w:bottom w:w="100" w:type="dxa"/>
              <w:end w:w="120" w:type="dxa"/>
            </w:tcMar>
          </w:tcPr>
          <w:p>
            <w:pPr>
              <w:spacing w:after="0" w:line="252" w:lineRule="auto"/>
            </w:pPr>
            <w:r>
              <w:rPr>
                <w:rFonts w:ascii="Calibri" w:hAnsi="Calibri"/>
                <w:b w:val="0"/>
                <w:i w:val="0"/>
                <w:color w:val="000000"/>
                <w:sz w:val="19"/>
              </w:rPr>
              <w:t>Outlet/operator partner</w:t>
            </w:r>
          </w:p>
        </w:tc>
        <w:tc>
          <w:tcPr>
            <w:tcW w:type="dxa" w:w="6480"/>
            <w:vAlign w:val="top"/>
            <w:tcMar>
              <w:top w:w="100" w:type="dxa"/>
              <w:start w:w="120" w:type="dxa"/>
              <w:bottom w:w="100" w:type="dxa"/>
              <w:end w:w="120" w:type="dxa"/>
            </w:tcMar>
          </w:tcPr>
          <w:p>
            <w:pPr>
              <w:spacing w:after="0" w:line="252" w:lineRule="auto"/>
            </w:pPr>
            <w:r>
              <w:rPr>
                <w:rFonts w:ascii="Calibri" w:hAnsi="Calibri"/>
                <w:b w:val="0"/>
                <w:i w:val="0"/>
                <w:color w:val="000000"/>
                <w:sz w:val="19"/>
              </w:rPr>
              <w:t>Menu and operating input, food-safety ownership, acceptance testing and real-world feedback</w:t>
            </w:r>
          </w:p>
        </w:tc>
      </w:tr>
    </w:tbl>
    <w:p>
      <w:pPr>
        <w:spacing w:after="20"/>
      </w:pPr>
    </w:p>
    <w:tbl>
      <w:tblPr>
        <w:tblW w:type="auto" w:w="0"/>
        <w:jc w:val="center"/>
        <w:tblLayout w:type="fixed"/>
        <w:tblLook w:firstColumn="1" w:firstRow="1" w:lastColumn="0" w:lastRow="0" w:noHBand="0" w:noVBand="1" w:val="04A0"/>
      </w:tblPr>
      <w:tblGrid>
        <w:gridCol w:w="9360"/>
      </w:tblGrid>
      <w:tr>
        <w:tc>
          <w:tcPr>
            <w:tcW w:type="dxa" w:w="9360"/>
            <w:shd w:fill="FFF4D6"/>
            <w:tcMar>
              <w:top w:w="140" w:type="dxa"/>
              <w:start w:w="180" w:type="dxa"/>
              <w:bottom w:w="140" w:type="dxa"/>
              <w:end w:w="180" w:type="dxa"/>
            </w:tcMar>
          </w:tcPr>
          <w:p>
            <w:pPr>
              <w:spacing w:after="80"/>
            </w:pPr>
            <w:r>
              <w:rPr>
                <w:rFonts w:ascii="Calibri" w:hAnsi="Calibri"/>
                <w:b/>
                <w:i w:val="0"/>
                <w:color w:val="17365D"/>
                <w:sz w:val="22"/>
              </w:rPr>
              <w:t>Approval status</w:t>
            </w:r>
          </w:p>
          <w:p>
            <w:pPr>
              <w:spacing w:after="0"/>
            </w:pPr>
            <w:r>
              <w:rPr>
                <w:rFonts w:ascii="Calibri" w:hAnsi="Calibri"/>
                <w:b w:val="0"/>
                <w:i w:val="0"/>
                <w:color w:val="000000"/>
                <w:sz w:val="21"/>
              </w:rPr>
              <w:t>This is a concept proposal, not a confirmed school programme or prize commitment. Participation, use of school name, treatment of minors, venue, stand location, food operations and awards require written approval from the relevant organizations.</w:t>
            </w:r>
          </w:p>
        </w:tc>
      </w:tr>
    </w:tbl>
    <w:p>
      <w:pPr>
        <w:spacing w:after="20"/>
      </w:pPr>
    </w:p>
    <w:p>
      <w:pPr>
        <w:pStyle w:val="Heading1"/>
      </w:pPr>
      <w:r>
        <w:t>3. Challenge statement</w:t>
      </w:r>
    </w:p>
    <w:p>
      <w:r>
        <w:rPr>
          <w:rFonts w:ascii="Calibri" w:hAnsi="Calibri"/>
          <w:b w:val="0"/>
          <w:i w:val="0"/>
          <w:color w:val="000000"/>
          <w:sz w:val="22"/>
        </w:rPr>
        <w:t>Design and build a safe, usable and portable AI ordering capability for a Filipino street-food stand. The solution should help a customer discover the menu, receive a reliable quotation, confirm pay-upon-delivery terms, place an order only after explicit approval, and track or cancel the order safely.</w:t>
      </w:r>
    </w:p>
    <w:p>
      <w:r>
        <w:rPr>
          <w:rFonts w:ascii="Calibri" w:hAnsi="Calibri"/>
          <w:b w:val="0"/>
          <w:i w:val="0"/>
          <w:color w:val="000000"/>
          <w:sz w:val="22"/>
        </w:rPr>
        <w:t>Teams may build their own customer-facing application. They must also register or connect the agent/MCP service to a KB Sandbox Project so evaluators can review its evidence, architecture, controls and behavior through Ember.</w:t>
      </w:r>
    </w:p>
    <w:p>
      <w:pPr>
        <w:pStyle w:val="Heading1"/>
      </w:pPr>
      <w:r>
        <w:t>4. Required team deliverables</w:t>
      </w:r>
    </w:p>
    <w:p>
      <w:pPr>
        <w:pStyle w:val="ListBullet"/>
        <w:spacing w:after="80"/>
      </w:pPr>
      <w:r>
        <w:rPr>
          <w:rFonts w:ascii="Calibri" w:hAnsi="Calibri"/>
          <w:b w:val="0"/>
          <w:i w:val="0"/>
          <w:color w:val="000000"/>
          <w:sz w:val="22"/>
        </w:rPr>
        <w:t>Problem and user-story definition, including customer and stand-operator journeys.</w:t>
      </w:r>
    </w:p>
    <w:p>
      <w:pPr>
        <w:pStyle w:val="ListBullet"/>
        <w:spacing w:after="80"/>
      </w:pPr>
      <w:r>
        <w:rPr>
          <w:rFonts w:ascii="Calibri" w:hAnsi="Calibri"/>
          <w:b w:val="0"/>
          <w:i w:val="0"/>
          <w:color w:val="000000"/>
          <w:sz w:val="22"/>
        </w:rPr>
        <w:t>Evidence pack: menu, prices, ingredients/allergens, operating assumptions, privacy considerations and constraints.</w:t>
      </w:r>
    </w:p>
    <w:p>
      <w:pPr>
        <w:pStyle w:val="ListBullet"/>
        <w:spacing w:after="80"/>
      </w:pPr>
      <w:r>
        <w:rPr>
          <w:rFonts w:ascii="Calibri" w:hAnsi="Calibri"/>
          <w:b w:val="0"/>
          <w:i w:val="0"/>
          <w:color w:val="000000"/>
          <w:sz w:val="22"/>
        </w:rPr>
        <w:t>OpenAPI-equivalent capability contract and/or MCP tool specification.</w:t>
      </w:r>
    </w:p>
    <w:p>
      <w:pPr>
        <w:pStyle w:val="ListBullet"/>
        <w:spacing w:after="80"/>
      </w:pPr>
      <w:r>
        <w:rPr>
          <w:rFonts w:ascii="Calibri" w:hAnsi="Calibri"/>
          <w:b w:val="0"/>
          <w:i w:val="0"/>
          <w:color w:val="000000"/>
          <w:sz w:val="22"/>
        </w:rPr>
        <w:t>Architecture and threat model showing identity, permissions, data movement, human gates, idempotency and audit.</w:t>
      </w:r>
    </w:p>
    <w:p>
      <w:pPr>
        <w:pStyle w:val="ListBullet"/>
        <w:spacing w:after="80"/>
      </w:pPr>
      <w:r>
        <w:rPr>
          <w:rFonts w:ascii="Calibri" w:hAnsi="Calibri"/>
          <w:b w:val="0"/>
          <w:i w:val="0"/>
          <w:color w:val="000000"/>
          <w:sz w:val="22"/>
        </w:rPr>
        <w:t>Working agent or MCP server deployed on approved Sandz-hosted infrastructure.</w:t>
      </w:r>
    </w:p>
    <w:p>
      <w:pPr>
        <w:pStyle w:val="ListBullet"/>
        <w:spacing w:after="80"/>
      </w:pPr>
      <w:r>
        <w:rPr>
          <w:rFonts w:ascii="Calibri" w:hAnsi="Calibri"/>
          <w:b w:val="0"/>
          <w:i w:val="0"/>
          <w:color w:val="000000"/>
          <w:sz w:val="22"/>
        </w:rPr>
        <w:t>At least one client interface: Ember integration, student-built app, kiosk or another approved interface.</w:t>
      </w:r>
    </w:p>
    <w:p>
      <w:pPr>
        <w:pStyle w:val="ListBullet"/>
        <w:spacing w:after="80"/>
      </w:pPr>
      <w:r>
        <w:rPr>
          <w:rFonts w:ascii="Calibri" w:hAnsi="Calibri"/>
          <w:b w:val="0"/>
          <w:i w:val="0"/>
          <w:color w:val="000000"/>
          <w:sz w:val="22"/>
        </w:rPr>
        <w:t>Automated and human test evidence, including failures and limitations.</w:t>
      </w:r>
    </w:p>
    <w:p>
      <w:pPr>
        <w:pStyle w:val="ListBullet"/>
        <w:spacing w:after="80"/>
      </w:pPr>
      <w:r>
        <w:rPr>
          <w:rFonts w:ascii="Calibri" w:hAnsi="Calibri"/>
          <w:b w:val="0"/>
          <w:i w:val="0"/>
          <w:color w:val="000000"/>
          <w:sz w:val="22"/>
        </w:rPr>
        <w:t>Short demonstration, operator handover and roadmap for real-world readiness.</w:t>
      </w:r>
    </w:p>
    <w:p>
      <w:pPr>
        <w:pStyle w:val="Heading1"/>
      </w:pPr>
      <w:r>
        <w:t>5. Minimum functional scope</w:t>
      </w:r>
    </w:p>
    <w:tbl>
      <w:tblPr>
        <w:tblW w:type="auto" w:w="0"/>
        <w:jc w:val="center"/>
        <w:tblLayout w:type="fixed"/>
        <w:tblLook w:firstColumn="1" w:firstRow="1" w:lastColumn="0" w:lastRow="0" w:noHBand="0" w:noVBand="1" w:val="04A0"/>
      </w:tblPr>
      <w:tblGrid>
        <w:gridCol w:w="4680"/>
        <w:gridCol w:w="4680"/>
      </w:tblGrid>
      <w:tr>
        <w:trPr>
          <w:tblHeader w:val="true"/>
          <w:cantSplit w:val="true"/>
        </w:trPr>
        <w:tc>
          <w:tcPr>
            <w:tcW w:type="dxa" w:w="2088"/>
            <w:shd w:fill="E8EEF5"/>
            <w:tcMar>
              <w:top w:w="100" w:type="dxa"/>
              <w:start w:w="120" w:type="dxa"/>
              <w:bottom w:w="100" w:type="dxa"/>
              <w:end w:w="120" w:type="dxa"/>
            </w:tcMar>
          </w:tcPr>
          <w:p>
            <w:pPr>
              <w:spacing w:after="0" w:line="252" w:lineRule="auto"/>
            </w:pPr>
            <w:r>
              <w:rPr>
                <w:rFonts w:ascii="Calibri" w:hAnsi="Calibri"/>
                <w:b/>
                <w:i w:val="0"/>
                <w:color w:val="17365D"/>
                <w:sz w:val="19"/>
              </w:rPr>
              <w:t>Capability</w:t>
            </w:r>
          </w:p>
        </w:tc>
        <w:tc>
          <w:tcPr>
            <w:tcW w:type="dxa" w:w="7272"/>
            <w:shd w:fill="E8EEF5"/>
            <w:tcMar>
              <w:top w:w="100" w:type="dxa"/>
              <w:start w:w="120" w:type="dxa"/>
              <w:bottom w:w="100" w:type="dxa"/>
              <w:end w:w="120" w:type="dxa"/>
            </w:tcMar>
          </w:tcPr>
          <w:p>
            <w:pPr>
              <w:spacing w:after="0" w:line="252" w:lineRule="auto"/>
            </w:pPr>
            <w:r>
              <w:rPr>
                <w:rFonts w:ascii="Calibri" w:hAnsi="Calibri"/>
                <w:b/>
                <w:i w:val="0"/>
                <w:color w:val="17365D"/>
                <w:sz w:val="19"/>
              </w:rPr>
              <w:t>Minimum expectation</w:t>
            </w:r>
          </w:p>
        </w:tc>
      </w:tr>
      <w:tr>
        <w:trPr>
          <w:cantSplit w:val="true"/>
        </w:trPr>
        <w:tc>
          <w:tcPr>
            <w:tcW w:type="dxa" w:w="2088"/>
            <w:vAlign w:val="top"/>
            <w:tcMar>
              <w:top w:w="100" w:type="dxa"/>
              <w:start w:w="120" w:type="dxa"/>
              <w:bottom w:w="100" w:type="dxa"/>
              <w:end w:w="120" w:type="dxa"/>
            </w:tcMar>
          </w:tcPr>
          <w:p>
            <w:pPr>
              <w:spacing w:after="0" w:line="252" w:lineRule="auto"/>
            </w:pPr>
            <w:r>
              <w:rPr>
                <w:rFonts w:ascii="Calibri" w:hAnsi="Calibri"/>
                <w:b w:val="0"/>
                <w:i w:val="0"/>
                <w:color w:val="000000"/>
                <w:sz w:val="19"/>
              </w:rPr>
              <w:t>Menu</w:t>
            </w:r>
          </w:p>
        </w:tc>
        <w:tc>
          <w:tcPr>
            <w:tcW w:type="dxa" w:w="7272"/>
            <w:vAlign w:val="top"/>
            <w:tcMar>
              <w:top w:w="100" w:type="dxa"/>
              <w:start w:w="120" w:type="dxa"/>
              <w:bottom w:w="100" w:type="dxa"/>
              <w:end w:w="120" w:type="dxa"/>
            </w:tcMar>
          </w:tcPr>
          <w:p>
            <w:pPr>
              <w:spacing w:after="0" w:line="252" w:lineRule="auto"/>
            </w:pPr>
            <w:r>
              <w:rPr>
                <w:rFonts w:ascii="Calibri" w:hAnsi="Calibri"/>
                <w:b w:val="0"/>
                <w:i w:val="0"/>
                <w:color w:val="000000"/>
                <w:sz w:val="19"/>
              </w:rPr>
              <w:t>Structured item names, images where licensed, authoritative prices, availability and allergen notices</w:t>
            </w:r>
          </w:p>
        </w:tc>
      </w:tr>
      <w:tr>
        <w:trPr>
          <w:cantSplit w:val="true"/>
        </w:trPr>
        <w:tc>
          <w:tcPr>
            <w:tcW w:type="dxa" w:w="2088"/>
            <w:vAlign w:val="top"/>
            <w:tcMar>
              <w:top w:w="100" w:type="dxa"/>
              <w:start w:w="120" w:type="dxa"/>
              <w:bottom w:w="100" w:type="dxa"/>
              <w:end w:w="120" w:type="dxa"/>
            </w:tcMar>
          </w:tcPr>
          <w:p>
            <w:pPr>
              <w:spacing w:after="0" w:line="252" w:lineRule="auto"/>
            </w:pPr>
            <w:r>
              <w:rPr>
                <w:rFonts w:ascii="Calibri" w:hAnsi="Calibri"/>
                <w:b w:val="0"/>
                <w:i w:val="0"/>
                <w:color w:val="000000"/>
                <w:sz w:val="19"/>
              </w:rPr>
              <w:t>Quotation</w:t>
            </w:r>
          </w:p>
        </w:tc>
        <w:tc>
          <w:tcPr>
            <w:tcW w:type="dxa" w:w="7272"/>
            <w:vAlign w:val="top"/>
            <w:tcMar>
              <w:top w:w="100" w:type="dxa"/>
              <w:start w:w="120" w:type="dxa"/>
              <w:bottom w:w="100" w:type="dxa"/>
              <w:end w:w="120" w:type="dxa"/>
            </w:tcMar>
          </w:tcPr>
          <w:p>
            <w:pPr>
              <w:spacing w:after="0" w:line="252" w:lineRule="auto"/>
            </w:pPr>
            <w:r>
              <w:rPr>
                <w:rFonts w:ascii="Calibri" w:hAnsi="Calibri"/>
                <w:b w:val="0"/>
                <w:i w:val="0"/>
                <w:color w:val="000000"/>
                <w:sz w:val="19"/>
              </w:rPr>
              <w:t>Exact basket, PHP total, fulfilment choice, expiry and pay-upon-delivery term</w:t>
            </w:r>
          </w:p>
        </w:tc>
      </w:tr>
      <w:tr>
        <w:trPr>
          <w:cantSplit w:val="true"/>
        </w:trPr>
        <w:tc>
          <w:tcPr>
            <w:tcW w:type="dxa" w:w="2088"/>
            <w:vAlign w:val="top"/>
            <w:tcMar>
              <w:top w:w="100" w:type="dxa"/>
              <w:start w:w="120" w:type="dxa"/>
              <w:bottom w:w="100" w:type="dxa"/>
              <w:end w:w="120" w:type="dxa"/>
            </w:tcMar>
          </w:tcPr>
          <w:p>
            <w:pPr>
              <w:spacing w:after="0" w:line="252" w:lineRule="auto"/>
            </w:pPr>
            <w:r>
              <w:rPr>
                <w:rFonts w:ascii="Calibri" w:hAnsi="Calibri"/>
                <w:b w:val="0"/>
                <w:i w:val="0"/>
                <w:color w:val="000000"/>
                <w:sz w:val="19"/>
              </w:rPr>
              <w:t>Confirmation</w:t>
            </w:r>
          </w:p>
        </w:tc>
        <w:tc>
          <w:tcPr>
            <w:tcW w:type="dxa" w:w="7272"/>
            <w:vAlign w:val="top"/>
            <w:tcMar>
              <w:top w:w="100" w:type="dxa"/>
              <w:start w:w="120" w:type="dxa"/>
              <w:bottom w:w="100" w:type="dxa"/>
              <w:end w:w="120" w:type="dxa"/>
            </w:tcMar>
          </w:tcPr>
          <w:p>
            <w:pPr>
              <w:spacing w:after="0" w:line="252" w:lineRule="auto"/>
            </w:pPr>
            <w:r>
              <w:rPr>
                <w:rFonts w:ascii="Calibri" w:hAnsi="Calibri"/>
                <w:b w:val="0"/>
                <w:i w:val="0"/>
                <w:color w:val="000000"/>
                <w:sz w:val="19"/>
              </w:rPr>
              <w:t>Trusted human approval separate from the model/agent</w:t>
            </w:r>
          </w:p>
        </w:tc>
      </w:tr>
      <w:tr>
        <w:trPr>
          <w:cantSplit w:val="true"/>
        </w:trPr>
        <w:tc>
          <w:tcPr>
            <w:tcW w:type="dxa" w:w="2088"/>
            <w:vAlign w:val="top"/>
            <w:tcMar>
              <w:top w:w="100" w:type="dxa"/>
              <w:start w:w="120" w:type="dxa"/>
              <w:bottom w:w="100" w:type="dxa"/>
              <w:end w:w="120" w:type="dxa"/>
            </w:tcMar>
          </w:tcPr>
          <w:p>
            <w:pPr>
              <w:spacing w:after="0" w:line="252" w:lineRule="auto"/>
            </w:pPr>
            <w:r>
              <w:rPr>
                <w:rFonts w:ascii="Calibri" w:hAnsi="Calibri"/>
                <w:b w:val="0"/>
                <w:i w:val="0"/>
                <w:color w:val="000000"/>
                <w:sz w:val="19"/>
              </w:rPr>
              <w:t>Order</w:t>
            </w:r>
          </w:p>
        </w:tc>
        <w:tc>
          <w:tcPr>
            <w:tcW w:type="dxa" w:w="7272"/>
            <w:vAlign w:val="top"/>
            <w:tcMar>
              <w:top w:w="100" w:type="dxa"/>
              <w:start w:w="120" w:type="dxa"/>
              <w:bottom w:w="100" w:type="dxa"/>
              <w:end w:w="120" w:type="dxa"/>
            </w:tcMar>
          </w:tcPr>
          <w:p>
            <w:pPr>
              <w:spacing w:after="0" w:line="252" w:lineRule="auto"/>
            </w:pPr>
            <w:r>
              <w:rPr>
                <w:rFonts w:ascii="Calibri" w:hAnsi="Calibri"/>
                <w:b w:val="0"/>
                <w:i w:val="0"/>
                <w:color w:val="000000"/>
                <w:sz w:val="19"/>
              </w:rPr>
              <w:t>Idempotent placement and persistent order identifier</w:t>
            </w:r>
          </w:p>
        </w:tc>
      </w:tr>
      <w:tr>
        <w:trPr>
          <w:cantSplit w:val="true"/>
        </w:trPr>
        <w:tc>
          <w:tcPr>
            <w:tcW w:type="dxa" w:w="2088"/>
            <w:vAlign w:val="top"/>
            <w:tcMar>
              <w:top w:w="100" w:type="dxa"/>
              <w:start w:w="120" w:type="dxa"/>
              <w:bottom w:w="100" w:type="dxa"/>
              <w:end w:w="120" w:type="dxa"/>
            </w:tcMar>
          </w:tcPr>
          <w:p>
            <w:pPr>
              <w:spacing w:after="0" w:line="252" w:lineRule="auto"/>
            </w:pPr>
            <w:r>
              <w:rPr>
                <w:rFonts w:ascii="Calibri" w:hAnsi="Calibri"/>
                <w:b w:val="0"/>
                <w:i w:val="0"/>
                <w:color w:val="000000"/>
                <w:sz w:val="19"/>
              </w:rPr>
              <w:t>Status</w:t>
            </w:r>
          </w:p>
        </w:tc>
        <w:tc>
          <w:tcPr>
            <w:tcW w:type="dxa" w:w="7272"/>
            <w:vAlign w:val="top"/>
            <w:tcMar>
              <w:top w:w="100" w:type="dxa"/>
              <w:start w:w="120" w:type="dxa"/>
              <w:bottom w:w="100" w:type="dxa"/>
              <w:end w:w="120" w:type="dxa"/>
            </w:tcMar>
          </w:tcPr>
          <w:p>
            <w:pPr>
              <w:spacing w:after="0" w:line="252" w:lineRule="auto"/>
            </w:pPr>
            <w:r>
              <w:rPr>
                <w:rFonts w:ascii="Calibri" w:hAnsi="Calibri"/>
                <w:b w:val="0"/>
                <w:i w:val="0"/>
                <w:color w:val="000000"/>
                <w:sz w:val="19"/>
              </w:rPr>
              <w:t>Clear simulated lifecycle such as placed, preparing, ready, completed or cancelled</w:t>
            </w:r>
          </w:p>
        </w:tc>
      </w:tr>
      <w:tr>
        <w:trPr>
          <w:cantSplit w:val="true"/>
        </w:trPr>
        <w:tc>
          <w:tcPr>
            <w:tcW w:type="dxa" w:w="2088"/>
            <w:vAlign w:val="top"/>
            <w:tcMar>
              <w:top w:w="100" w:type="dxa"/>
              <w:start w:w="120" w:type="dxa"/>
              <w:bottom w:w="100" w:type="dxa"/>
              <w:end w:w="120" w:type="dxa"/>
            </w:tcMar>
          </w:tcPr>
          <w:p>
            <w:pPr>
              <w:spacing w:after="0" w:line="252" w:lineRule="auto"/>
            </w:pPr>
            <w:r>
              <w:rPr>
                <w:rFonts w:ascii="Calibri" w:hAnsi="Calibri"/>
                <w:b w:val="0"/>
                <w:i w:val="0"/>
                <w:color w:val="000000"/>
                <w:sz w:val="19"/>
              </w:rPr>
              <w:t>Cancellation</w:t>
            </w:r>
          </w:p>
        </w:tc>
        <w:tc>
          <w:tcPr>
            <w:tcW w:type="dxa" w:w="7272"/>
            <w:vAlign w:val="top"/>
            <w:tcMar>
              <w:top w:w="100" w:type="dxa"/>
              <w:start w:w="120" w:type="dxa"/>
              <w:bottom w:w="100" w:type="dxa"/>
              <w:end w:w="120" w:type="dxa"/>
            </w:tcMar>
          </w:tcPr>
          <w:p>
            <w:pPr>
              <w:spacing w:after="0" w:line="252" w:lineRule="auto"/>
            </w:pPr>
            <w:r>
              <w:rPr>
                <w:rFonts w:ascii="Calibri" w:hAnsi="Calibri"/>
                <w:b w:val="0"/>
                <w:i w:val="0"/>
                <w:color w:val="000000"/>
                <w:sz w:val="19"/>
              </w:rPr>
              <w:t>Separate confirmation and appropriate state restrictions</w:t>
            </w:r>
          </w:p>
        </w:tc>
      </w:tr>
      <w:tr>
        <w:trPr>
          <w:cantSplit w:val="true"/>
        </w:trPr>
        <w:tc>
          <w:tcPr>
            <w:tcW w:type="dxa" w:w="2088"/>
            <w:vAlign w:val="top"/>
            <w:tcMar>
              <w:top w:w="100" w:type="dxa"/>
              <w:start w:w="120" w:type="dxa"/>
              <w:bottom w:w="100" w:type="dxa"/>
              <w:end w:w="120" w:type="dxa"/>
            </w:tcMar>
          </w:tcPr>
          <w:p>
            <w:pPr>
              <w:spacing w:after="0" w:line="252" w:lineRule="auto"/>
            </w:pPr>
            <w:r>
              <w:rPr>
                <w:rFonts w:ascii="Calibri" w:hAnsi="Calibri"/>
                <w:b w:val="0"/>
                <w:i w:val="0"/>
                <w:color w:val="000000"/>
                <w:sz w:val="19"/>
              </w:rPr>
              <w:t>Identity</w:t>
            </w:r>
          </w:p>
        </w:tc>
        <w:tc>
          <w:tcPr>
            <w:tcW w:type="dxa" w:w="7272"/>
            <w:vAlign w:val="top"/>
            <w:tcMar>
              <w:top w:w="100" w:type="dxa"/>
              <w:start w:w="120" w:type="dxa"/>
              <w:bottom w:w="100" w:type="dxa"/>
              <w:end w:w="120" w:type="dxa"/>
            </w:tcMar>
          </w:tcPr>
          <w:p>
            <w:pPr>
              <w:spacing w:after="0" w:line="252" w:lineRule="auto"/>
            </w:pPr>
            <w:r>
              <w:rPr>
                <w:rFonts w:ascii="Calibri" w:hAnsi="Calibri"/>
                <w:b w:val="0"/>
                <w:i w:val="0"/>
                <w:color w:val="000000"/>
                <w:sz w:val="19"/>
              </w:rPr>
              <w:t>User- and Project-scoped access; no identity supplied by prompt text</w:t>
            </w:r>
          </w:p>
        </w:tc>
      </w:tr>
      <w:tr>
        <w:trPr>
          <w:cantSplit w:val="true"/>
        </w:trPr>
        <w:tc>
          <w:tcPr>
            <w:tcW w:type="dxa" w:w="2088"/>
            <w:vAlign w:val="top"/>
            <w:tcMar>
              <w:top w:w="100" w:type="dxa"/>
              <w:start w:w="120" w:type="dxa"/>
              <w:bottom w:w="100" w:type="dxa"/>
              <w:end w:w="120" w:type="dxa"/>
            </w:tcMar>
          </w:tcPr>
          <w:p>
            <w:pPr>
              <w:spacing w:after="0" w:line="252" w:lineRule="auto"/>
            </w:pPr>
            <w:r>
              <w:rPr>
                <w:rFonts w:ascii="Calibri" w:hAnsi="Calibri"/>
                <w:b w:val="0"/>
                <w:i w:val="0"/>
                <w:color w:val="000000"/>
                <w:sz w:val="19"/>
              </w:rPr>
              <w:t>Privacy</w:t>
            </w:r>
          </w:p>
        </w:tc>
        <w:tc>
          <w:tcPr>
            <w:tcW w:type="dxa" w:w="7272"/>
            <w:vAlign w:val="top"/>
            <w:tcMar>
              <w:top w:w="100" w:type="dxa"/>
              <w:start w:w="120" w:type="dxa"/>
              <w:bottom w:w="100" w:type="dxa"/>
              <w:end w:w="120" w:type="dxa"/>
            </w:tcMar>
          </w:tcPr>
          <w:p>
            <w:pPr>
              <w:spacing w:after="0" w:line="252" w:lineRule="auto"/>
            </w:pPr>
            <w:r>
              <w:rPr>
                <w:rFonts w:ascii="Calibri" w:hAnsi="Calibri"/>
                <w:b w:val="0"/>
                <w:i w:val="0"/>
                <w:color w:val="000000"/>
                <w:sz w:val="19"/>
              </w:rPr>
              <w:t>No secret or full delivery address in prompts, logs or public demonstrations</w:t>
            </w:r>
          </w:p>
        </w:tc>
      </w:tr>
      <w:tr>
        <w:trPr>
          <w:cantSplit w:val="true"/>
        </w:trPr>
        <w:tc>
          <w:tcPr>
            <w:tcW w:type="dxa" w:w="2088"/>
            <w:vAlign w:val="top"/>
            <w:tcMar>
              <w:top w:w="100" w:type="dxa"/>
              <w:start w:w="120" w:type="dxa"/>
              <w:bottom w:w="100" w:type="dxa"/>
              <w:end w:w="120" w:type="dxa"/>
            </w:tcMar>
          </w:tcPr>
          <w:p>
            <w:pPr>
              <w:spacing w:after="0" w:line="252" w:lineRule="auto"/>
            </w:pPr>
            <w:r>
              <w:rPr>
                <w:rFonts w:ascii="Calibri" w:hAnsi="Calibri"/>
                <w:b w:val="0"/>
                <w:i w:val="0"/>
                <w:color w:val="000000"/>
                <w:sz w:val="19"/>
              </w:rPr>
              <w:t>Portability</w:t>
            </w:r>
          </w:p>
        </w:tc>
        <w:tc>
          <w:tcPr>
            <w:tcW w:type="dxa" w:w="7272"/>
            <w:vAlign w:val="top"/>
            <w:tcMar>
              <w:top w:w="100" w:type="dxa"/>
              <w:start w:w="120" w:type="dxa"/>
              <w:bottom w:w="100" w:type="dxa"/>
              <w:end w:w="120" w:type="dxa"/>
            </w:tcMar>
          </w:tcPr>
          <w:p>
            <w:pPr>
              <w:spacing w:after="0" w:line="252" w:lineRule="auto"/>
            </w:pPr>
            <w:r>
              <w:rPr>
                <w:rFonts w:ascii="Calibri" w:hAnsi="Calibri"/>
                <w:b w:val="0"/>
                <w:i w:val="0"/>
                <w:color w:val="000000"/>
                <w:sz w:val="19"/>
              </w:rPr>
              <w:t>Documented contract usable by Ember and at least one independent client</w:t>
            </w:r>
          </w:p>
        </w:tc>
      </w:tr>
    </w:tbl>
    <w:p>
      <w:pPr>
        <w:spacing w:after="20"/>
      </w:pPr>
    </w:p>
    <w:p>
      <w:pPr>
        <w:pStyle w:val="Heading1"/>
      </w:pPr>
      <w:r>
        <w:t>6. Suggested programme stages</w:t>
      </w:r>
    </w:p>
    <w:tbl>
      <w:tblPr>
        <w:tblW w:type="auto" w:w="0"/>
        <w:jc w:val="center"/>
        <w:tblLayout w:type="fixed"/>
        <w:tblLook w:firstColumn="1" w:firstRow="1" w:lastColumn="0" w:lastRow="0" w:noHBand="0" w:noVBand="1" w:val="04A0"/>
      </w:tblPr>
      <w:tblGrid>
        <w:gridCol w:w="4680"/>
        <w:gridCol w:w="4680"/>
      </w:tblGrid>
      <w:tr>
        <w:trPr>
          <w:tblHeader w:val="true"/>
          <w:cantSplit w:val="true"/>
        </w:trPr>
        <w:tc>
          <w:tcPr>
            <w:tcW w:type="dxa" w:w="2088"/>
            <w:shd w:fill="E8EEF5"/>
            <w:tcMar>
              <w:top w:w="100" w:type="dxa"/>
              <w:start w:w="120" w:type="dxa"/>
              <w:bottom w:w="100" w:type="dxa"/>
              <w:end w:w="120" w:type="dxa"/>
            </w:tcMar>
          </w:tcPr>
          <w:p>
            <w:pPr>
              <w:spacing w:after="0" w:line="252" w:lineRule="auto"/>
            </w:pPr>
            <w:r>
              <w:rPr>
                <w:rFonts w:ascii="Calibri" w:hAnsi="Calibri"/>
                <w:b/>
                <w:i w:val="0"/>
                <w:color w:val="17365D"/>
                <w:sz w:val="19"/>
              </w:rPr>
              <w:t>Stage</w:t>
            </w:r>
          </w:p>
        </w:tc>
        <w:tc>
          <w:tcPr>
            <w:tcW w:type="dxa" w:w="7272"/>
            <w:shd w:fill="E8EEF5"/>
            <w:tcMar>
              <w:top w:w="100" w:type="dxa"/>
              <w:start w:w="120" w:type="dxa"/>
              <w:bottom w:w="100" w:type="dxa"/>
              <w:end w:w="120" w:type="dxa"/>
            </w:tcMar>
          </w:tcPr>
          <w:p>
            <w:pPr>
              <w:spacing w:after="0" w:line="252" w:lineRule="auto"/>
            </w:pPr>
            <w:r>
              <w:rPr>
                <w:rFonts w:ascii="Calibri" w:hAnsi="Calibri"/>
                <w:b/>
                <w:i w:val="0"/>
                <w:color w:val="17365D"/>
                <w:sz w:val="19"/>
              </w:rPr>
              <w:t>Outcome</w:t>
            </w:r>
          </w:p>
        </w:tc>
      </w:tr>
      <w:tr>
        <w:trPr>
          <w:cantSplit w:val="true"/>
        </w:trPr>
        <w:tc>
          <w:tcPr>
            <w:tcW w:type="dxa" w:w="2088"/>
            <w:vAlign w:val="top"/>
            <w:tcMar>
              <w:top w:w="100" w:type="dxa"/>
              <w:start w:w="120" w:type="dxa"/>
              <w:bottom w:w="100" w:type="dxa"/>
              <w:end w:w="120" w:type="dxa"/>
            </w:tcMar>
          </w:tcPr>
          <w:p>
            <w:pPr>
              <w:spacing w:after="0" w:line="252" w:lineRule="auto"/>
            </w:pPr>
            <w:r>
              <w:rPr>
                <w:rFonts w:ascii="Calibri" w:hAnsi="Calibri"/>
                <w:b w:val="0"/>
                <w:i w:val="0"/>
                <w:color w:val="000000"/>
                <w:sz w:val="19"/>
              </w:rPr>
              <w:t>1. Foundation</w:t>
            </w:r>
          </w:p>
        </w:tc>
        <w:tc>
          <w:tcPr>
            <w:tcW w:type="dxa" w:w="7272"/>
            <w:vAlign w:val="top"/>
            <w:tcMar>
              <w:top w:w="100" w:type="dxa"/>
              <w:start w:w="120" w:type="dxa"/>
              <w:bottom w:w="100" w:type="dxa"/>
              <w:end w:w="120" w:type="dxa"/>
            </w:tcMar>
          </w:tcPr>
          <w:p>
            <w:pPr>
              <w:spacing w:after="0" w:line="252" w:lineRule="auto"/>
            </w:pPr>
            <w:r>
              <w:rPr>
                <w:rFonts w:ascii="Calibri" w:hAnsi="Calibri"/>
                <w:b w:val="0"/>
                <w:i w:val="0"/>
                <w:color w:val="000000"/>
                <w:sz w:val="19"/>
              </w:rPr>
              <w:t>Learn AI, LLM, RAG, agents, MCP, APIs, evidence, privacy, human approval and evaluation.</w:t>
            </w:r>
          </w:p>
        </w:tc>
      </w:tr>
      <w:tr>
        <w:trPr>
          <w:cantSplit w:val="true"/>
        </w:trPr>
        <w:tc>
          <w:tcPr>
            <w:tcW w:type="dxa" w:w="2088"/>
            <w:vAlign w:val="top"/>
            <w:tcMar>
              <w:top w:w="100" w:type="dxa"/>
              <w:start w:w="120" w:type="dxa"/>
              <w:bottom w:w="100" w:type="dxa"/>
              <w:end w:w="120" w:type="dxa"/>
            </w:tcMar>
          </w:tcPr>
          <w:p>
            <w:pPr>
              <w:spacing w:after="0" w:line="252" w:lineRule="auto"/>
            </w:pPr>
            <w:r>
              <w:rPr>
                <w:rFonts w:ascii="Calibri" w:hAnsi="Calibri"/>
                <w:b w:val="0"/>
                <w:i w:val="0"/>
                <w:color w:val="000000"/>
                <w:sz w:val="19"/>
              </w:rPr>
              <w:t>2. Qualification</w:t>
            </w:r>
          </w:p>
        </w:tc>
        <w:tc>
          <w:tcPr>
            <w:tcW w:type="dxa" w:w="7272"/>
            <w:vAlign w:val="top"/>
            <w:tcMar>
              <w:top w:w="100" w:type="dxa"/>
              <w:start w:w="120" w:type="dxa"/>
              <w:bottom w:w="100" w:type="dxa"/>
              <w:end w:w="120" w:type="dxa"/>
            </w:tcMar>
          </w:tcPr>
          <w:p>
            <w:pPr>
              <w:spacing w:after="0" w:line="252" w:lineRule="auto"/>
            </w:pPr>
            <w:r>
              <w:rPr>
                <w:rFonts w:ascii="Calibri" w:hAnsi="Calibri"/>
                <w:b w:val="0"/>
                <w:i w:val="0"/>
                <w:color w:val="000000"/>
                <w:sz w:val="19"/>
              </w:rPr>
              <w:t>Complete an evidence-grounded assessment using the KB Sandbox foundation knowledge base.</w:t>
            </w:r>
          </w:p>
        </w:tc>
      </w:tr>
      <w:tr>
        <w:trPr>
          <w:cantSplit w:val="true"/>
        </w:trPr>
        <w:tc>
          <w:tcPr>
            <w:tcW w:type="dxa" w:w="2088"/>
            <w:vAlign w:val="top"/>
            <w:tcMar>
              <w:top w:w="100" w:type="dxa"/>
              <w:start w:w="120" w:type="dxa"/>
              <w:bottom w:w="100" w:type="dxa"/>
              <w:end w:w="120" w:type="dxa"/>
            </w:tcMar>
          </w:tcPr>
          <w:p>
            <w:pPr>
              <w:spacing w:after="0" w:line="252" w:lineRule="auto"/>
            </w:pPr>
            <w:r>
              <w:rPr>
                <w:rFonts w:ascii="Calibri" w:hAnsi="Calibri"/>
                <w:b w:val="0"/>
                <w:i w:val="0"/>
                <w:color w:val="000000"/>
                <w:sz w:val="19"/>
              </w:rPr>
              <w:t>3. Project design</w:t>
            </w:r>
          </w:p>
        </w:tc>
        <w:tc>
          <w:tcPr>
            <w:tcW w:type="dxa" w:w="7272"/>
            <w:vAlign w:val="top"/>
            <w:tcMar>
              <w:top w:w="100" w:type="dxa"/>
              <w:start w:w="120" w:type="dxa"/>
              <w:bottom w:w="100" w:type="dxa"/>
              <w:end w:w="120" w:type="dxa"/>
            </w:tcMar>
          </w:tcPr>
          <w:p>
            <w:pPr>
              <w:spacing w:after="0" w:line="252" w:lineRule="auto"/>
            </w:pPr>
            <w:r>
              <w:rPr>
                <w:rFonts w:ascii="Calibri" w:hAnsi="Calibri"/>
                <w:b w:val="0"/>
                <w:i w:val="0"/>
                <w:color w:val="000000"/>
                <w:sz w:val="19"/>
              </w:rPr>
              <w:t>Create a team Project, gather evidence and produce the required architecture deliverables.</w:t>
            </w:r>
          </w:p>
        </w:tc>
      </w:tr>
      <w:tr>
        <w:trPr>
          <w:cantSplit w:val="true"/>
        </w:trPr>
        <w:tc>
          <w:tcPr>
            <w:tcW w:type="dxa" w:w="2088"/>
            <w:vAlign w:val="top"/>
            <w:tcMar>
              <w:top w:w="100" w:type="dxa"/>
              <w:start w:w="120" w:type="dxa"/>
              <w:bottom w:w="100" w:type="dxa"/>
              <w:end w:w="120" w:type="dxa"/>
            </w:tcMar>
          </w:tcPr>
          <w:p>
            <w:pPr>
              <w:spacing w:after="0" w:line="252" w:lineRule="auto"/>
            </w:pPr>
            <w:r>
              <w:rPr>
                <w:rFonts w:ascii="Calibri" w:hAnsi="Calibri"/>
                <w:b w:val="0"/>
                <w:i w:val="0"/>
                <w:color w:val="000000"/>
                <w:sz w:val="19"/>
              </w:rPr>
              <w:t>4. Build sprint</w:t>
            </w:r>
          </w:p>
        </w:tc>
        <w:tc>
          <w:tcPr>
            <w:tcW w:type="dxa" w:w="7272"/>
            <w:vAlign w:val="top"/>
            <w:tcMar>
              <w:top w:w="100" w:type="dxa"/>
              <w:start w:w="120" w:type="dxa"/>
              <w:bottom w:w="100" w:type="dxa"/>
              <w:end w:w="120" w:type="dxa"/>
            </w:tcMar>
          </w:tcPr>
          <w:p>
            <w:pPr>
              <w:spacing w:after="0" w:line="252" w:lineRule="auto"/>
            </w:pPr>
            <w:r>
              <w:rPr>
                <w:rFonts w:ascii="Calibri" w:hAnsi="Calibri"/>
                <w:b w:val="0"/>
                <w:i w:val="0"/>
                <w:color w:val="000000"/>
                <w:sz w:val="19"/>
              </w:rPr>
              <w:t>Implement the server and client with approved assisted-coding tools and mentor checkpoints.</w:t>
            </w:r>
          </w:p>
        </w:tc>
      </w:tr>
      <w:tr>
        <w:trPr>
          <w:cantSplit w:val="true"/>
        </w:trPr>
        <w:tc>
          <w:tcPr>
            <w:tcW w:type="dxa" w:w="2088"/>
            <w:vAlign w:val="top"/>
            <w:tcMar>
              <w:top w:w="100" w:type="dxa"/>
              <w:start w:w="120" w:type="dxa"/>
              <w:bottom w:w="100" w:type="dxa"/>
              <w:end w:w="120" w:type="dxa"/>
            </w:tcMar>
          </w:tcPr>
          <w:p>
            <w:pPr>
              <w:spacing w:after="0" w:line="252" w:lineRule="auto"/>
            </w:pPr>
            <w:r>
              <w:rPr>
                <w:rFonts w:ascii="Calibri" w:hAnsi="Calibri"/>
                <w:b w:val="0"/>
                <w:i w:val="0"/>
                <w:color w:val="000000"/>
                <w:sz w:val="19"/>
              </w:rPr>
              <w:t>5. Register and test</w:t>
            </w:r>
          </w:p>
        </w:tc>
        <w:tc>
          <w:tcPr>
            <w:tcW w:type="dxa" w:w="7272"/>
            <w:vAlign w:val="top"/>
            <w:tcMar>
              <w:top w:w="100" w:type="dxa"/>
              <w:start w:w="120" w:type="dxa"/>
              <w:bottom w:w="100" w:type="dxa"/>
              <w:end w:w="120" w:type="dxa"/>
            </w:tcMar>
          </w:tcPr>
          <w:p>
            <w:pPr>
              <w:spacing w:after="0" w:line="252" w:lineRule="auto"/>
            </w:pPr>
            <w:r>
              <w:rPr>
                <w:rFonts w:ascii="Calibri" w:hAnsi="Calibri"/>
                <w:b w:val="0"/>
                <w:i w:val="0"/>
                <w:color w:val="000000"/>
                <w:sz w:val="19"/>
              </w:rPr>
              <w:t>Connect the service to KB Sandbox, certify tool behavior and run repeated evaluations.</w:t>
            </w:r>
          </w:p>
        </w:tc>
      </w:tr>
      <w:tr>
        <w:trPr>
          <w:cantSplit w:val="true"/>
        </w:trPr>
        <w:tc>
          <w:tcPr>
            <w:tcW w:type="dxa" w:w="2088"/>
            <w:vAlign w:val="top"/>
            <w:tcMar>
              <w:top w:w="100" w:type="dxa"/>
              <w:start w:w="120" w:type="dxa"/>
              <w:bottom w:w="100" w:type="dxa"/>
              <w:end w:w="120" w:type="dxa"/>
            </w:tcMar>
          </w:tcPr>
          <w:p>
            <w:pPr>
              <w:spacing w:after="0" w:line="252" w:lineRule="auto"/>
            </w:pPr>
            <w:r>
              <w:rPr>
                <w:rFonts w:ascii="Calibri" w:hAnsi="Calibri"/>
                <w:b w:val="0"/>
                <w:i w:val="0"/>
                <w:color w:val="000000"/>
                <w:sz w:val="19"/>
              </w:rPr>
              <w:t>6. Demonstration</w:t>
            </w:r>
          </w:p>
        </w:tc>
        <w:tc>
          <w:tcPr>
            <w:tcW w:type="dxa" w:w="7272"/>
            <w:vAlign w:val="top"/>
            <w:tcMar>
              <w:top w:w="100" w:type="dxa"/>
              <w:start w:w="120" w:type="dxa"/>
              <w:bottom w:w="100" w:type="dxa"/>
              <w:end w:w="120" w:type="dxa"/>
            </w:tcMar>
          </w:tcPr>
          <w:p>
            <w:pPr>
              <w:spacing w:after="0" w:line="252" w:lineRule="auto"/>
            </w:pPr>
            <w:r>
              <w:rPr>
                <w:rFonts w:ascii="Calibri" w:hAnsi="Calibri"/>
                <w:b w:val="0"/>
                <w:i w:val="0"/>
                <w:color w:val="000000"/>
                <w:sz w:val="19"/>
              </w:rPr>
              <w:t>Present the customer journey, operator view, architecture, safety controls, evidence and lessons.</w:t>
            </w:r>
          </w:p>
        </w:tc>
      </w:tr>
      <w:tr>
        <w:trPr>
          <w:cantSplit w:val="true"/>
        </w:trPr>
        <w:tc>
          <w:tcPr>
            <w:tcW w:type="dxa" w:w="2088"/>
            <w:vAlign w:val="top"/>
            <w:tcMar>
              <w:top w:w="100" w:type="dxa"/>
              <w:start w:w="120" w:type="dxa"/>
              <w:bottom w:w="100" w:type="dxa"/>
              <w:end w:w="120" w:type="dxa"/>
            </w:tcMar>
          </w:tcPr>
          <w:p>
            <w:pPr>
              <w:spacing w:after="0" w:line="252" w:lineRule="auto"/>
            </w:pPr>
            <w:r>
              <w:rPr>
                <w:rFonts w:ascii="Calibri" w:hAnsi="Calibri"/>
                <w:b w:val="0"/>
                <w:i w:val="0"/>
                <w:color w:val="000000"/>
                <w:sz w:val="19"/>
              </w:rPr>
              <w:t>7. Showcase</w:t>
            </w:r>
          </w:p>
        </w:tc>
        <w:tc>
          <w:tcPr>
            <w:tcW w:type="dxa" w:w="7272"/>
            <w:vAlign w:val="top"/>
            <w:tcMar>
              <w:top w:w="100" w:type="dxa"/>
              <w:start w:w="120" w:type="dxa"/>
              <w:bottom w:w="100" w:type="dxa"/>
              <w:end w:w="120" w:type="dxa"/>
            </w:tcMar>
          </w:tcPr>
          <w:p>
            <w:pPr>
              <w:spacing w:after="0" w:line="252" w:lineRule="auto"/>
            </w:pPr>
            <w:r>
              <w:rPr>
                <w:rFonts w:ascii="Calibri" w:hAnsi="Calibri"/>
                <w:b w:val="0"/>
                <w:i w:val="0"/>
                <w:color w:val="000000"/>
                <w:sz w:val="19"/>
              </w:rPr>
              <w:t>Subject to approvals, harden and deploy the winning solution for a demonstration fishball stand.</w:t>
            </w:r>
          </w:p>
        </w:tc>
      </w:tr>
    </w:tbl>
    <w:p>
      <w:pPr>
        <w:spacing w:after="20"/>
      </w:pPr>
    </w:p>
    <w:p>
      <w:pPr>
        <w:pStyle w:val="Heading1"/>
      </w:pPr>
      <w:r>
        <w:t>7. Judging framework</w:t>
      </w:r>
    </w:p>
    <w:tbl>
      <w:tblPr>
        <w:tblW w:type="auto" w:w="0"/>
        <w:jc w:val="center"/>
        <w:tblLayout w:type="fixed"/>
        <w:tblLook w:firstColumn="1" w:firstRow="1" w:lastColumn="0" w:lastRow="0" w:noHBand="0" w:noVBand="1" w:val="04A0"/>
      </w:tblPr>
      <w:tblGrid>
        <w:gridCol w:w="3120"/>
        <w:gridCol w:w="3120"/>
        <w:gridCol w:w="3120"/>
      </w:tblGrid>
      <w:tr>
        <w:trPr>
          <w:tblHeader w:val="true"/>
          <w:cantSplit w:val="true"/>
        </w:trPr>
        <w:tc>
          <w:tcPr>
            <w:tcW w:type="dxa" w:w="2880"/>
            <w:shd w:fill="E8EEF5"/>
            <w:tcMar>
              <w:top w:w="100" w:type="dxa"/>
              <w:start w:w="120" w:type="dxa"/>
              <w:bottom w:w="100" w:type="dxa"/>
              <w:end w:w="120" w:type="dxa"/>
            </w:tcMar>
          </w:tcPr>
          <w:p>
            <w:pPr>
              <w:spacing w:after="0" w:line="252" w:lineRule="auto"/>
            </w:pPr>
            <w:r>
              <w:rPr>
                <w:rFonts w:ascii="Calibri" w:hAnsi="Calibri"/>
                <w:b/>
                <w:i w:val="0"/>
                <w:color w:val="17365D"/>
                <w:sz w:val="19"/>
              </w:rPr>
              <w:t>Criterion</w:t>
            </w:r>
          </w:p>
        </w:tc>
        <w:tc>
          <w:tcPr>
            <w:tcW w:type="dxa" w:w="936"/>
            <w:shd w:fill="E8EEF5"/>
            <w:tcMar>
              <w:top w:w="100" w:type="dxa"/>
              <w:start w:w="120" w:type="dxa"/>
              <w:bottom w:w="100" w:type="dxa"/>
              <w:end w:w="120" w:type="dxa"/>
            </w:tcMar>
          </w:tcPr>
          <w:p>
            <w:pPr>
              <w:spacing w:after="0" w:line="252" w:lineRule="auto"/>
            </w:pPr>
            <w:r>
              <w:rPr>
                <w:rFonts w:ascii="Calibri" w:hAnsi="Calibri"/>
                <w:b/>
                <w:i w:val="0"/>
                <w:color w:val="17365D"/>
                <w:sz w:val="19"/>
              </w:rPr>
              <w:t>Points</w:t>
            </w:r>
          </w:p>
        </w:tc>
        <w:tc>
          <w:tcPr>
            <w:tcW w:type="dxa" w:w="5544"/>
            <w:shd w:fill="E8EEF5"/>
            <w:tcMar>
              <w:top w:w="100" w:type="dxa"/>
              <w:start w:w="120" w:type="dxa"/>
              <w:bottom w:w="100" w:type="dxa"/>
              <w:end w:w="120" w:type="dxa"/>
            </w:tcMar>
          </w:tcPr>
          <w:p>
            <w:pPr>
              <w:spacing w:after="0" w:line="252" w:lineRule="auto"/>
            </w:pPr>
            <w:r>
              <w:rPr>
                <w:rFonts w:ascii="Calibri" w:hAnsi="Calibri"/>
                <w:b/>
                <w:i w:val="0"/>
                <w:color w:val="17365D"/>
                <w:sz w:val="19"/>
              </w:rPr>
              <w:t>What judges examine</w:t>
            </w:r>
          </w:p>
        </w:tc>
      </w:tr>
      <w:tr>
        <w:trPr>
          <w:cantSplit w:val="true"/>
        </w:trPr>
        <w:tc>
          <w:tcPr>
            <w:tcW w:type="dxa" w:w="2880"/>
            <w:vAlign w:val="top"/>
            <w:tcMar>
              <w:top w:w="100" w:type="dxa"/>
              <w:start w:w="120" w:type="dxa"/>
              <w:bottom w:w="100" w:type="dxa"/>
              <w:end w:w="120" w:type="dxa"/>
            </w:tcMar>
          </w:tcPr>
          <w:p>
            <w:pPr>
              <w:spacing w:after="0" w:line="252" w:lineRule="auto"/>
            </w:pPr>
            <w:r>
              <w:rPr>
                <w:rFonts w:ascii="Calibri" w:hAnsi="Calibri"/>
                <w:b w:val="0"/>
                <w:i w:val="0"/>
                <w:color w:val="000000"/>
                <w:sz w:val="19"/>
              </w:rPr>
              <w:t>Customer and operator value</w:t>
            </w:r>
          </w:p>
        </w:tc>
        <w:tc>
          <w:tcPr>
            <w:tcW w:type="dxa" w:w="936"/>
            <w:vAlign w:val="top"/>
            <w:tcMar>
              <w:top w:w="100" w:type="dxa"/>
              <w:start w:w="120" w:type="dxa"/>
              <w:bottom w:w="100" w:type="dxa"/>
              <w:end w:w="120" w:type="dxa"/>
            </w:tcMar>
          </w:tcPr>
          <w:p>
            <w:pPr>
              <w:spacing w:after="0" w:line="252" w:lineRule="auto"/>
            </w:pPr>
            <w:r>
              <w:rPr>
                <w:rFonts w:ascii="Calibri" w:hAnsi="Calibri"/>
                <w:b w:val="0"/>
                <w:i w:val="0"/>
                <w:color w:val="000000"/>
                <w:sz w:val="19"/>
              </w:rPr>
              <w:t>15</w:t>
            </w:r>
          </w:p>
        </w:tc>
        <w:tc>
          <w:tcPr>
            <w:tcW w:type="dxa" w:w="5544"/>
            <w:vAlign w:val="top"/>
            <w:tcMar>
              <w:top w:w="100" w:type="dxa"/>
              <w:start w:w="120" w:type="dxa"/>
              <w:bottom w:w="100" w:type="dxa"/>
              <w:end w:w="120" w:type="dxa"/>
            </w:tcMar>
          </w:tcPr>
          <w:p>
            <w:pPr>
              <w:spacing w:after="0" w:line="252" w:lineRule="auto"/>
            </w:pPr>
            <w:r>
              <w:rPr>
                <w:rFonts w:ascii="Calibri" w:hAnsi="Calibri"/>
                <w:b w:val="0"/>
                <w:i w:val="0"/>
                <w:color w:val="000000"/>
                <w:sz w:val="19"/>
              </w:rPr>
              <w:t>Clarity, usefulness, cultural fit and ease of operation</w:t>
            </w:r>
          </w:p>
        </w:tc>
      </w:tr>
      <w:tr>
        <w:trPr>
          <w:cantSplit w:val="true"/>
        </w:trPr>
        <w:tc>
          <w:tcPr>
            <w:tcW w:type="dxa" w:w="2880"/>
            <w:vAlign w:val="top"/>
            <w:tcMar>
              <w:top w:w="100" w:type="dxa"/>
              <w:start w:w="120" w:type="dxa"/>
              <w:bottom w:w="100" w:type="dxa"/>
              <w:end w:w="120" w:type="dxa"/>
            </w:tcMar>
          </w:tcPr>
          <w:p>
            <w:pPr>
              <w:spacing w:after="0" w:line="252" w:lineRule="auto"/>
            </w:pPr>
            <w:r>
              <w:rPr>
                <w:rFonts w:ascii="Calibri" w:hAnsi="Calibri"/>
                <w:b w:val="0"/>
                <w:i w:val="0"/>
                <w:color w:val="000000"/>
                <w:sz w:val="19"/>
              </w:rPr>
              <w:t>Requirements and evidence</w:t>
            </w:r>
          </w:p>
        </w:tc>
        <w:tc>
          <w:tcPr>
            <w:tcW w:type="dxa" w:w="936"/>
            <w:vAlign w:val="top"/>
            <w:tcMar>
              <w:top w:w="100" w:type="dxa"/>
              <w:start w:w="120" w:type="dxa"/>
              <w:bottom w:w="100" w:type="dxa"/>
              <w:end w:w="120" w:type="dxa"/>
            </w:tcMar>
          </w:tcPr>
          <w:p>
            <w:pPr>
              <w:spacing w:after="0" w:line="252" w:lineRule="auto"/>
            </w:pPr>
            <w:r>
              <w:rPr>
                <w:rFonts w:ascii="Calibri" w:hAnsi="Calibri"/>
                <w:b w:val="0"/>
                <w:i w:val="0"/>
                <w:color w:val="000000"/>
                <w:sz w:val="19"/>
              </w:rPr>
              <w:t>15</w:t>
            </w:r>
          </w:p>
        </w:tc>
        <w:tc>
          <w:tcPr>
            <w:tcW w:type="dxa" w:w="5544"/>
            <w:vAlign w:val="top"/>
            <w:tcMar>
              <w:top w:w="100" w:type="dxa"/>
              <w:start w:w="120" w:type="dxa"/>
              <w:bottom w:w="100" w:type="dxa"/>
              <w:end w:w="120" w:type="dxa"/>
            </w:tcMar>
          </w:tcPr>
          <w:p>
            <w:pPr>
              <w:spacing w:after="0" w:line="252" w:lineRule="auto"/>
            </w:pPr>
            <w:r>
              <w:rPr>
                <w:rFonts w:ascii="Calibri" w:hAnsi="Calibri"/>
                <w:b w:val="0"/>
                <w:i w:val="0"/>
                <w:color w:val="000000"/>
                <w:sz w:val="19"/>
              </w:rPr>
              <w:t>Traceability, assumptions, source quality and honest gaps</w:t>
            </w:r>
          </w:p>
        </w:tc>
      </w:tr>
      <w:tr>
        <w:trPr>
          <w:cantSplit w:val="true"/>
        </w:trPr>
        <w:tc>
          <w:tcPr>
            <w:tcW w:type="dxa" w:w="2880"/>
            <w:vAlign w:val="top"/>
            <w:tcMar>
              <w:top w:w="100" w:type="dxa"/>
              <w:start w:w="120" w:type="dxa"/>
              <w:bottom w:w="100" w:type="dxa"/>
              <w:end w:w="120" w:type="dxa"/>
            </w:tcMar>
          </w:tcPr>
          <w:p>
            <w:pPr>
              <w:spacing w:after="0" w:line="252" w:lineRule="auto"/>
            </w:pPr>
            <w:r>
              <w:rPr>
                <w:rFonts w:ascii="Calibri" w:hAnsi="Calibri"/>
                <w:b w:val="0"/>
                <w:i w:val="0"/>
                <w:color w:val="000000"/>
                <w:sz w:val="19"/>
              </w:rPr>
              <w:t>Architecture and portability</w:t>
            </w:r>
          </w:p>
        </w:tc>
        <w:tc>
          <w:tcPr>
            <w:tcW w:type="dxa" w:w="936"/>
            <w:vAlign w:val="top"/>
            <w:tcMar>
              <w:top w:w="100" w:type="dxa"/>
              <w:start w:w="120" w:type="dxa"/>
              <w:bottom w:w="100" w:type="dxa"/>
              <w:end w:w="120" w:type="dxa"/>
            </w:tcMar>
          </w:tcPr>
          <w:p>
            <w:pPr>
              <w:spacing w:after="0" w:line="252" w:lineRule="auto"/>
            </w:pPr>
            <w:r>
              <w:rPr>
                <w:rFonts w:ascii="Calibri" w:hAnsi="Calibri"/>
                <w:b w:val="0"/>
                <w:i w:val="0"/>
                <w:color w:val="000000"/>
                <w:sz w:val="19"/>
              </w:rPr>
              <w:t>15</w:t>
            </w:r>
          </w:p>
        </w:tc>
        <w:tc>
          <w:tcPr>
            <w:tcW w:type="dxa" w:w="5544"/>
            <w:vAlign w:val="top"/>
            <w:tcMar>
              <w:top w:w="100" w:type="dxa"/>
              <w:start w:w="120" w:type="dxa"/>
              <w:bottom w:w="100" w:type="dxa"/>
              <w:end w:w="120" w:type="dxa"/>
            </w:tcMar>
          </w:tcPr>
          <w:p>
            <w:pPr>
              <w:spacing w:after="0" w:line="252" w:lineRule="auto"/>
            </w:pPr>
            <w:r>
              <w:rPr>
                <w:rFonts w:ascii="Calibri" w:hAnsi="Calibri"/>
                <w:b w:val="0"/>
                <w:i w:val="0"/>
                <w:color w:val="000000"/>
                <w:sz w:val="19"/>
              </w:rPr>
              <w:t>Contract quality, client independence and maintainable boundaries</w:t>
            </w:r>
          </w:p>
        </w:tc>
      </w:tr>
      <w:tr>
        <w:trPr>
          <w:cantSplit w:val="true"/>
        </w:trPr>
        <w:tc>
          <w:tcPr>
            <w:tcW w:type="dxa" w:w="2880"/>
            <w:vAlign w:val="top"/>
            <w:tcMar>
              <w:top w:w="100" w:type="dxa"/>
              <w:start w:w="120" w:type="dxa"/>
              <w:bottom w:w="100" w:type="dxa"/>
              <w:end w:w="120" w:type="dxa"/>
            </w:tcMar>
          </w:tcPr>
          <w:p>
            <w:pPr>
              <w:spacing w:after="0" w:line="252" w:lineRule="auto"/>
            </w:pPr>
            <w:r>
              <w:rPr>
                <w:rFonts w:ascii="Calibri" w:hAnsi="Calibri"/>
                <w:b w:val="0"/>
                <w:i w:val="0"/>
                <w:color w:val="000000"/>
                <w:sz w:val="19"/>
              </w:rPr>
              <w:t>Safety, privacy and governance</w:t>
            </w:r>
          </w:p>
        </w:tc>
        <w:tc>
          <w:tcPr>
            <w:tcW w:type="dxa" w:w="936"/>
            <w:vAlign w:val="top"/>
            <w:tcMar>
              <w:top w:w="100" w:type="dxa"/>
              <w:start w:w="120" w:type="dxa"/>
              <w:bottom w:w="100" w:type="dxa"/>
              <w:end w:w="120" w:type="dxa"/>
            </w:tcMar>
          </w:tcPr>
          <w:p>
            <w:pPr>
              <w:spacing w:after="0" w:line="252" w:lineRule="auto"/>
            </w:pPr>
            <w:r>
              <w:rPr>
                <w:rFonts w:ascii="Calibri" w:hAnsi="Calibri"/>
                <w:b w:val="0"/>
                <w:i w:val="0"/>
                <w:color w:val="000000"/>
                <w:sz w:val="19"/>
              </w:rPr>
              <w:t>20</w:t>
            </w:r>
          </w:p>
        </w:tc>
        <w:tc>
          <w:tcPr>
            <w:tcW w:type="dxa" w:w="5544"/>
            <w:vAlign w:val="top"/>
            <w:tcMar>
              <w:top w:w="100" w:type="dxa"/>
              <w:start w:w="120" w:type="dxa"/>
              <w:bottom w:w="100" w:type="dxa"/>
              <w:end w:w="120" w:type="dxa"/>
            </w:tcMar>
          </w:tcPr>
          <w:p>
            <w:pPr>
              <w:spacing w:after="0" w:line="252" w:lineRule="auto"/>
            </w:pPr>
            <w:r>
              <w:rPr>
                <w:rFonts w:ascii="Calibri" w:hAnsi="Calibri"/>
                <w:b w:val="0"/>
                <w:i w:val="0"/>
                <w:color w:val="000000"/>
                <w:sz w:val="19"/>
              </w:rPr>
              <w:t>Identity, permissions, confirmation, address handling, allergens and audit</w:t>
            </w:r>
          </w:p>
        </w:tc>
      </w:tr>
      <w:tr>
        <w:trPr>
          <w:cantSplit w:val="true"/>
        </w:trPr>
        <w:tc>
          <w:tcPr>
            <w:tcW w:type="dxa" w:w="2880"/>
            <w:vAlign w:val="top"/>
            <w:tcMar>
              <w:top w:w="100" w:type="dxa"/>
              <w:start w:w="120" w:type="dxa"/>
              <w:bottom w:w="100" w:type="dxa"/>
              <w:end w:w="120" w:type="dxa"/>
            </w:tcMar>
          </w:tcPr>
          <w:p>
            <w:pPr>
              <w:spacing w:after="0" w:line="252" w:lineRule="auto"/>
            </w:pPr>
            <w:r>
              <w:rPr>
                <w:rFonts w:ascii="Calibri" w:hAnsi="Calibri"/>
                <w:b w:val="0"/>
                <w:i w:val="0"/>
                <w:color w:val="000000"/>
                <w:sz w:val="19"/>
              </w:rPr>
              <w:t>Reliability and testing</w:t>
            </w:r>
          </w:p>
        </w:tc>
        <w:tc>
          <w:tcPr>
            <w:tcW w:type="dxa" w:w="936"/>
            <w:vAlign w:val="top"/>
            <w:tcMar>
              <w:top w:w="100" w:type="dxa"/>
              <w:start w:w="120" w:type="dxa"/>
              <w:bottom w:w="100" w:type="dxa"/>
              <w:end w:w="120" w:type="dxa"/>
            </w:tcMar>
          </w:tcPr>
          <w:p>
            <w:pPr>
              <w:spacing w:after="0" w:line="252" w:lineRule="auto"/>
            </w:pPr>
            <w:r>
              <w:rPr>
                <w:rFonts w:ascii="Calibri" w:hAnsi="Calibri"/>
                <w:b w:val="0"/>
                <w:i w:val="0"/>
                <w:color w:val="000000"/>
                <w:sz w:val="19"/>
              </w:rPr>
              <w:t>15</w:t>
            </w:r>
          </w:p>
        </w:tc>
        <w:tc>
          <w:tcPr>
            <w:tcW w:type="dxa" w:w="5544"/>
            <w:vAlign w:val="top"/>
            <w:tcMar>
              <w:top w:w="100" w:type="dxa"/>
              <w:start w:w="120" w:type="dxa"/>
              <w:bottom w:w="100" w:type="dxa"/>
              <w:end w:w="120" w:type="dxa"/>
            </w:tcMar>
          </w:tcPr>
          <w:p>
            <w:pPr>
              <w:spacing w:after="0" w:line="252" w:lineRule="auto"/>
            </w:pPr>
            <w:r>
              <w:rPr>
                <w:rFonts w:ascii="Calibri" w:hAnsi="Calibri"/>
                <w:b w:val="0"/>
                <w:i w:val="0"/>
                <w:color w:val="000000"/>
                <w:sz w:val="19"/>
              </w:rPr>
              <w:t>Idempotency, failure handling, persistence, repeatability and test evidence</w:t>
            </w:r>
          </w:p>
        </w:tc>
      </w:tr>
      <w:tr>
        <w:trPr>
          <w:cantSplit w:val="true"/>
        </w:trPr>
        <w:tc>
          <w:tcPr>
            <w:tcW w:type="dxa" w:w="2880"/>
            <w:vAlign w:val="top"/>
            <w:tcMar>
              <w:top w:w="100" w:type="dxa"/>
              <w:start w:w="120" w:type="dxa"/>
              <w:bottom w:w="100" w:type="dxa"/>
              <w:end w:w="120" w:type="dxa"/>
            </w:tcMar>
          </w:tcPr>
          <w:p>
            <w:pPr>
              <w:spacing w:after="0" w:line="252" w:lineRule="auto"/>
            </w:pPr>
            <w:r>
              <w:rPr>
                <w:rFonts w:ascii="Calibri" w:hAnsi="Calibri"/>
                <w:b w:val="0"/>
                <w:i w:val="0"/>
                <w:color w:val="000000"/>
                <w:sz w:val="19"/>
              </w:rPr>
              <w:t>User experience</w:t>
            </w:r>
          </w:p>
        </w:tc>
        <w:tc>
          <w:tcPr>
            <w:tcW w:type="dxa" w:w="936"/>
            <w:vAlign w:val="top"/>
            <w:tcMar>
              <w:top w:w="100" w:type="dxa"/>
              <w:start w:w="120" w:type="dxa"/>
              <w:bottom w:w="100" w:type="dxa"/>
              <w:end w:w="120" w:type="dxa"/>
            </w:tcMar>
          </w:tcPr>
          <w:p>
            <w:pPr>
              <w:spacing w:after="0" w:line="252" w:lineRule="auto"/>
            </w:pPr>
            <w:r>
              <w:rPr>
                <w:rFonts w:ascii="Calibri" w:hAnsi="Calibri"/>
                <w:b w:val="0"/>
                <w:i w:val="0"/>
                <w:color w:val="000000"/>
                <w:sz w:val="19"/>
              </w:rPr>
              <w:t>10</w:t>
            </w:r>
          </w:p>
        </w:tc>
        <w:tc>
          <w:tcPr>
            <w:tcW w:type="dxa" w:w="5544"/>
            <w:vAlign w:val="top"/>
            <w:tcMar>
              <w:top w:w="100" w:type="dxa"/>
              <w:start w:w="120" w:type="dxa"/>
              <w:bottom w:w="100" w:type="dxa"/>
              <w:end w:w="120" w:type="dxa"/>
            </w:tcMar>
          </w:tcPr>
          <w:p>
            <w:pPr>
              <w:spacing w:after="0" w:line="252" w:lineRule="auto"/>
            </w:pPr>
            <w:r>
              <w:rPr>
                <w:rFonts w:ascii="Calibri" w:hAnsi="Calibri"/>
                <w:b w:val="0"/>
                <w:i w:val="0"/>
                <w:color w:val="000000"/>
                <w:sz w:val="19"/>
              </w:rPr>
              <w:t>Accessible interface, clear totals/terms and understandable errors</w:t>
            </w:r>
          </w:p>
        </w:tc>
      </w:tr>
      <w:tr>
        <w:trPr>
          <w:cantSplit w:val="true"/>
        </w:trPr>
        <w:tc>
          <w:tcPr>
            <w:tcW w:type="dxa" w:w="2880"/>
            <w:vAlign w:val="top"/>
            <w:tcMar>
              <w:top w:w="100" w:type="dxa"/>
              <w:start w:w="120" w:type="dxa"/>
              <w:bottom w:w="100" w:type="dxa"/>
              <w:end w:w="120" w:type="dxa"/>
            </w:tcMar>
          </w:tcPr>
          <w:p>
            <w:pPr>
              <w:spacing w:after="0" w:line="252" w:lineRule="auto"/>
            </w:pPr>
            <w:r>
              <w:rPr>
                <w:rFonts w:ascii="Calibri" w:hAnsi="Calibri"/>
                <w:b w:val="0"/>
                <w:i w:val="0"/>
                <w:color w:val="000000"/>
                <w:sz w:val="19"/>
              </w:rPr>
              <w:t>Communication and learning</w:t>
            </w:r>
          </w:p>
        </w:tc>
        <w:tc>
          <w:tcPr>
            <w:tcW w:type="dxa" w:w="936"/>
            <w:vAlign w:val="top"/>
            <w:tcMar>
              <w:top w:w="100" w:type="dxa"/>
              <w:start w:w="120" w:type="dxa"/>
              <w:bottom w:w="100" w:type="dxa"/>
              <w:end w:w="120" w:type="dxa"/>
            </w:tcMar>
          </w:tcPr>
          <w:p>
            <w:pPr>
              <w:spacing w:after="0" w:line="252" w:lineRule="auto"/>
            </w:pPr>
            <w:r>
              <w:rPr>
                <w:rFonts w:ascii="Calibri" w:hAnsi="Calibri"/>
                <w:b w:val="0"/>
                <w:i w:val="0"/>
                <w:color w:val="000000"/>
                <w:sz w:val="19"/>
              </w:rPr>
              <w:t>10</w:t>
            </w:r>
          </w:p>
        </w:tc>
        <w:tc>
          <w:tcPr>
            <w:tcW w:type="dxa" w:w="5544"/>
            <w:vAlign w:val="top"/>
            <w:tcMar>
              <w:top w:w="100" w:type="dxa"/>
              <w:start w:w="120" w:type="dxa"/>
              <w:bottom w:w="100" w:type="dxa"/>
              <w:end w:w="120" w:type="dxa"/>
            </w:tcMar>
          </w:tcPr>
          <w:p>
            <w:pPr>
              <w:spacing w:after="0" w:line="252" w:lineRule="auto"/>
            </w:pPr>
            <w:r>
              <w:rPr>
                <w:rFonts w:ascii="Calibri" w:hAnsi="Calibri"/>
                <w:b w:val="0"/>
                <w:i w:val="0"/>
                <w:color w:val="000000"/>
                <w:sz w:val="19"/>
              </w:rPr>
              <w:t>Demonstration, documentation, reflection and response to questions</w:t>
            </w:r>
          </w:p>
        </w:tc>
      </w:tr>
    </w:tbl>
    <w:p>
      <w:pPr>
        <w:spacing w:after="20"/>
      </w:pPr>
    </w:p>
    <w:p>
      <w:pPr>
        <w:pStyle w:val="Heading1"/>
      </w:pPr>
      <w:r>
        <w:t>8. Proposed prize and recognition</w:t>
      </w:r>
    </w:p>
    <w:p>
      <w:r>
        <w:rPr>
          <w:rFonts w:ascii="Calibri" w:hAnsi="Calibri"/>
          <w:b w:val="0"/>
          <w:i w:val="0"/>
          <w:color w:val="000000"/>
          <w:sz w:val="22"/>
        </w:rPr>
        <w:t>The proposed headline opportunity is to prepare the winning solution for a visible demonstration at a fishball stand near Sandz in the Ayala area of Makati. The final arrangement may be a sponsored showcase, pilot deployment or equivalent prize depending on location, permits, operator agreement, food-safety requirements and school approval.</w:t>
      </w:r>
    </w:p>
    <w:p>
      <w:pPr>
        <w:pStyle w:val="ListBullet"/>
        <w:spacing w:after="80"/>
      </w:pPr>
      <w:r>
        <w:rPr>
          <w:rFonts w:ascii="Calibri" w:hAnsi="Calibri"/>
          <w:b w:val="0"/>
          <w:i w:val="0"/>
          <w:color w:val="000000"/>
          <w:sz w:val="22"/>
        </w:rPr>
        <w:t>Winning team recognition and certificates for finalists.</w:t>
      </w:r>
    </w:p>
    <w:p>
      <w:pPr>
        <w:pStyle w:val="ListBullet"/>
        <w:spacing w:after="80"/>
      </w:pPr>
      <w:r>
        <w:rPr>
          <w:rFonts w:ascii="Calibri" w:hAnsi="Calibri"/>
          <w:b w:val="0"/>
          <w:i w:val="0"/>
          <w:color w:val="000000"/>
          <w:sz w:val="22"/>
        </w:rPr>
        <w:t>Mentoring to harden the winning prototype into a governed showcase.</w:t>
      </w:r>
    </w:p>
    <w:p>
      <w:pPr>
        <w:pStyle w:val="ListBullet"/>
        <w:spacing w:after="80"/>
      </w:pPr>
      <w:r>
        <w:rPr>
          <w:rFonts w:ascii="Calibri" w:hAnsi="Calibri"/>
          <w:b w:val="0"/>
          <w:i w:val="0"/>
          <w:color w:val="000000"/>
          <w:sz w:val="22"/>
        </w:rPr>
        <w:t>Sandz-hosted deployment for an agreed demonstration period.</w:t>
      </w:r>
    </w:p>
    <w:p>
      <w:pPr>
        <w:pStyle w:val="ListBullet"/>
        <w:spacing w:after="80"/>
      </w:pPr>
      <w:r>
        <w:rPr>
          <w:rFonts w:ascii="Calibri" w:hAnsi="Calibri"/>
          <w:b w:val="0"/>
          <w:i w:val="0"/>
          <w:color w:val="000000"/>
          <w:sz w:val="22"/>
        </w:rPr>
        <w:t>Portfolio-ready architecture, evaluation and deployment evidence for students.</w:t>
      </w:r>
    </w:p>
    <w:p>
      <w:pPr>
        <w:pStyle w:val="ListBullet"/>
        <w:spacing w:after="80"/>
      </w:pPr>
      <w:r>
        <w:rPr>
          <w:rFonts w:ascii="Calibri" w:hAnsi="Calibri"/>
          <w:b w:val="0"/>
          <w:i w:val="0"/>
          <w:color w:val="000000"/>
          <w:sz w:val="22"/>
        </w:rPr>
        <w:t>Potential internship, apprenticeship or builder-community introductions subject to separate selection processes.</w:t>
      </w:r>
    </w:p>
    <w:p>
      <w:pPr>
        <w:pStyle w:val="Heading1"/>
      </w:pPr>
      <w:r>
        <w:t>9. Safeguarding and responsible participation</w:t>
      </w:r>
    </w:p>
    <w:p>
      <w:pPr>
        <w:pStyle w:val="ListBullet"/>
        <w:spacing w:after="80"/>
      </w:pPr>
      <w:r>
        <w:rPr>
          <w:rFonts w:ascii="Calibri" w:hAnsi="Calibri"/>
          <w:b w:val="0"/>
          <w:i w:val="0"/>
          <w:color w:val="000000"/>
          <w:sz w:val="22"/>
        </w:rPr>
        <w:t>Obtain school authorization, parental/guardian consent where required, and appropriate supervision for minors.</w:t>
      </w:r>
    </w:p>
    <w:p>
      <w:pPr>
        <w:pStyle w:val="ListBullet"/>
        <w:spacing w:after="80"/>
      </w:pPr>
      <w:r>
        <w:rPr>
          <w:rFonts w:ascii="Calibri" w:hAnsi="Calibri"/>
          <w:b w:val="0"/>
          <w:i w:val="0"/>
          <w:color w:val="000000"/>
          <w:sz w:val="22"/>
        </w:rPr>
        <w:t>Do not use real customer addresses, payment information, private accounts or production merchant credentials during competition work.</w:t>
      </w:r>
    </w:p>
    <w:p>
      <w:pPr>
        <w:pStyle w:val="ListBullet"/>
        <w:spacing w:after="80"/>
      </w:pPr>
      <w:r>
        <w:rPr>
          <w:rFonts w:ascii="Calibri" w:hAnsi="Calibri"/>
          <w:b w:val="0"/>
          <w:i w:val="0"/>
          <w:color w:val="000000"/>
          <w:sz w:val="22"/>
        </w:rPr>
        <w:t>Use simulated orders until the organizers approve a separately governed real-world pilot.</w:t>
      </w:r>
    </w:p>
    <w:p>
      <w:pPr>
        <w:pStyle w:val="ListBullet"/>
        <w:spacing w:after="80"/>
      </w:pPr>
      <w:r>
        <w:rPr>
          <w:rFonts w:ascii="Calibri" w:hAnsi="Calibri"/>
          <w:b w:val="0"/>
          <w:i w:val="0"/>
          <w:color w:val="000000"/>
          <w:sz w:val="22"/>
        </w:rPr>
        <w:t>Require licensed or team-created images and documented source attribution.</w:t>
      </w:r>
    </w:p>
    <w:p>
      <w:pPr>
        <w:pStyle w:val="ListBullet"/>
        <w:spacing w:after="80"/>
      </w:pPr>
      <w:r>
        <w:rPr>
          <w:rFonts w:ascii="Calibri" w:hAnsi="Calibri"/>
          <w:b w:val="0"/>
          <w:i w:val="0"/>
          <w:color w:val="000000"/>
          <w:sz w:val="22"/>
        </w:rPr>
        <w:t>Include allergen notices and make clear that the software does not replace food-safety responsibility.</w:t>
      </w:r>
    </w:p>
    <w:p>
      <w:pPr>
        <w:pStyle w:val="ListBullet"/>
        <w:spacing w:after="80"/>
      </w:pPr>
      <w:r>
        <w:rPr>
          <w:rFonts w:ascii="Calibri" w:hAnsi="Calibri"/>
          <w:b w:val="0"/>
          <w:i w:val="0"/>
          <w:color w:val="000000"/>
          <w:sz w:val="22"/>
        </w:rPr>
        <w:t>Prohibit harassment, unsafe content, credential sharing, unauthorized scanning and use of third-party systems without permission.</w:t>
      </w:r>
    </w:p>
    <w:p>
      <w:pPr>
        <w:pStyle w:val="ListBullet"/>
        <w:spacing w:after="80"/>
      </w:pPr>
      <w:r>
        <w:rPr>
          <w:rFonts w:ascii="Calibri" w:hAnsi="Calibri"/>
          <w:b w:val="0"/>
          <w:i w:val="0"/>
          <w:color w:val="000000"/>
          <w:sz w:val="22"/>
        </w:rPr>
        <w:t>Provide an incident-reporting route and an adult safeguarding contact throughout the event.</w:t>
      </w:r>
    </w:p>
    <w:p>
      <w:pPr>
        <w:pStyle w:val="Heading1"/>
      </w:pPr>
      <w:r>
        <w:t>10. Intellectual property and portability</w:t>
      </w:r>
    </w:p>
    <w:p>
      <w:r>
        <w:rPr>
          <w:rFonts w:ascii="Calibri" w:hAnsi="Calibri"/>
          <w:b w:val="0"/>
          <w:i w:val="0"/>
          <w:color w:val="000000"/>
          <w:sz w:val="22"/>
        </w:rPr>
        <w:t>Before launch, organizers should publish simple terms explaining ownership, licensing, open-source obligations, use of student work in demonstrations, attribution, and any rights needed to operate the winning showcase. Students should retain appropriate recognition. Any commercialization, revenue sharing, maintenance obligation or transfer of ownership should require a separate written agreement rather than being implied by participation.</w:t>
      </w:r>
    </w:p>
    <w:p>
      <w:pPr>
        <w:pStyle w:val="Heading1"/>
        <w:pageBreakBefore/>
      </w:pPr>
      <w:r>
        <w:t>11. Proposed success measures</w:t>
      </w:r>
    </w:p>
    <w:tbl>
      <w:tblPr>
        <w:tblW w:type="auto" w:w="0"/>
        <w:jc w:val="center"/>
        <w:tblLayout w:type="fixed"/>
        <w:tblLook w:firstColumn="1" w:firstRow="1" w:lastColumn="0" w:lastRow="0" w:noHBand="0" w:noVBand="1" w:val="04A0"/>
      </w:tblPr>
      <w:tblGrid>
        <w:gridCol w:w="4680"/>
        <w:gridCol w:w="4680"/>
      </w:tblGrid>
      <w:tr>
        <w:trPr>
          <w:tblHeader w:val="true"/>
          <w:cantSplit w:val="true"/>
        </w:trPr>
        <w:tc>
          <w:tcPr>
            <w:tcW w:type="dxa" w:w="2232"/>
            <w:shd w:fill="E8EEF5"/>
            <w:tcMar>
              <w:top w:w="100" w:type="dxa"/>
              <w:start w:w="120" w:type="dxa"/>
              <w:bottom w:w="100" w:type="dxa"/>
              <w:end w:w="120" w:type="dxa"/>
            </w:tcMar>
          </w:tcPr>
          <w:p>
            <w:pPr>
              <w:spacing w:after="0" w:line="252" w:lineRule="auto"/>
            </w:pPr>
            <w:r>
              <w:rPr>
                <w:rFonts w:ascii="Calibri" w:hAnsi="Calibri"/>
                <w:b/>
                <w:i w:val="0"/>
                <w:color w:val="17365D"/>
                <w:sz w:val="19"/>
              </w:rPr>
              <w:t>Area</w:t>
            </w:r>
          </w:p>
        </w:tc>
        <w:tc>
          <w:tcPr>
            <w:tcW w:type="dxa" w:w="7128"/>
            <w:shd w:fill="E8EEF5"/>
            <w:tcMar>
              <w:top w:w="100" w:type="dxa"/>
              <w:start w:w="120" w:type="dxa"/>
              <w:bottom w:w="100" w:type="dxa"/>
              <w:end w:w="120" w:type="dxa"/>
            </w:tcMar>
          </w:tcPr>
          <w:p>
            <w:pPr>
              <w:spacing w:after="0" w:line="252" w:lineRule="auto"/>
            </w:pPr>
            <w:r>
              <w:rPr>
                <w:rFonts w:ascii="Calibri" w:hAnsi="Calibri"/>
                <w:b/>
                <w:i w:val="0"/>
                <w:color w:val="17365D"/>
                <w:sz w:val="19"/>
              </w:rPr>
              <w:t>Suggested measure</w:t>
            </w:r>
          </w:p>
        </w:tc>
      </w:tr>
      <w:tr>
        <w:trPr>
          <w:cantSplit w:val="true"/>
        </w:trPr>
        <w:tc>
          <w:tcPr>
            <w:tcW w:type="dxa" w:w="2232"/>
            <w:vAlign w:val="top"/>
            <w:tcMar>
              <w:top w:w="100" w:type="dxa"/>
              <w:start w:w="120" w:type="dxa"/>
              <w:bottom w:w="100" w:type="dxa"/>
              <w:end w:w="120" w:type="dxa"/>
            </w:tcMar>
          </w:tcPr>
          <w:p>
            <w:pPr>
              <w:spacing w:after="0" w:line="252" w:lineRule="auto"/>
            </w:pPr>
            <w:r>
              <w:rPr>
                <w:rFonts w:ascii="Calibri" w:hAnsi="Calibri"/>
                <w:b w:val="0"/>
                <w:i w:val="0"/>
                <w:color w:val="000000"/>
                <w:sz w:val="19"/>
              </w:rPr>
              <w:t>Learning</w:t>
            </w:r>
          </w:p>
        </w:tc>
        <w:tc>
          <w:tcPr>
            <w:tcW w:type="dxa" w:w="7128"/>
            <w:vAlign w:val="top"/>
            <w:tcMar>
              <w:top w:w="100" w:type="dxa"/>
              <w:start w:w="120" w:type="dxa"/>
              <w:bottom w:w="100" w:type="dxa"/>
              <w:end w:w="120" w:type="dxa"/>
            </w:tcMar>
          </w:tcPr>
          <w:p>
            <w:pPr>
              <w:spacing w:after="0" w:line="252" w:lineRule="auto"/>
            </w:pPr>
            <w:r>
              <w:rPr>
                <w:rFonts w:ascii="Calibri" w:hAnsi="Calibri"/>
                <w:b w:val="0"/>
                <w:i w:val="0"/>
                <w:color w:val="000000"/>
                <w:sz w:val="19"/>
              </w:rPr>
              <w:t>Improvement between foundation assessment and final architecture/evaluation review</w:t>
            </w:r>
          </w:p>
        </w:tc>
      </w:tr>
      <w:tr>
        <w:trPr>
          <w:cantSplit w:val="true"/>
        </w:trPr>
        <w:tc>
          <w:tcPr>
            <w:tcW w:type="dxa" w:w="2232"/>
            <w:vAlign w:val="top"/>
            <w:tcMar>
              <w:top w:w="100" w:type="dxa"/>
              <w:start w:w="120" w:type="dxa"/>
              <w:bottom w:w="100" w:type="dxa"/>
              <w:end w:w="120" w:type="dxa"/>
            </w:tcMar>
          </w:tcPr>
          <w:p>
            <w:pPr>
              <w:spacing w:after="0" w:line="252" w:lineRule="auto"/>
            </w:pPr>
            <w:r>
              <w:rPr>
                <w:rFonts w:ascii="Calibri" w:hAnsi="Calibri"/>
                <w:b w:val="0"/>
                <w:i w:val="0"/>
                <w:color w:val="000000"/>
                <w:sz w:val="19"/>
              </w:rPr>
              <w:t>Completion</w:t>
            </w:r>
          </w:p>
        </w:tc>
        <w:tc>
          <w:tcPr>
            <w:tcW w:type="dxa" w:w="7128"/>
            <w:vAlign w:val="top"/>
            <w:tcMar>
              <w:top w:w="100" w:type="dxa"/>
              <w:start w:w="120" w:type="dxa"/>
              <w:bottom w:w="100" w:type="dxa"/>
              <w:end w:w="120" w:type="dxa"/>
            </w:tcMar>
          </w:tcPr>
          <w:p>
            <w:pPr>
              <w:spacing w:after="0" w:line="252" w:lineRule="auto"/>
            </w:pPr>
            <w:r>
              <w:rPr>
                <w:rFonts w:ascii="Calibri" w:hAnsi="Calibri"/>
                <w:b w:val="0"/>
                <w:i w:val="0"/>
                <w:color w:val="000000"/>
                <w:sz w:val="19"/>
              </w:rPr>
              <w:t>Teams delivering all required evidence, contract, build and test artifacts</w:t>
            </w:r>
          </w:p>
        </w:tc>
      </w:tr>
      <w:tr>
        <w:trPr>
          <w:cantSplit w:val="true"/>
        </w:trPr>
        <w:tc>
          <w:tcPr>
            <w:tcW w:type="dxa" w:w="2232"/>
            <w:vAlign w:val="top"/>
            <w:tcMar>
              <w:top w:w="100" w:type="dxa"/>
              <w:start w:w="120" w:type="dxa"/>
              <w:bottom w:w="100" w:type="dxa"/>
              <w:end w:w="120" w:type="dxa"/>
            </w:tcMar>
          </w:tcPr>
          <w:p>
            <w:pPr>
              <w:spacing w:after="0" w:line="252" w:lineRule="auto"/>
            </w:pPr>
            <w:r>
              <w:rPr>
                <w:rFonts w:ascii="Calibri" w:hAnsi="Calibri"/>
                <w:b w:val="0"/>
                <w:i w:val="0"/>
                <w:color w:val="000000"/>
                <w:sz w:val="19"/>
              </w:rPr>
              <w:t>Reliability</w:t>
            </w:r>
          </w:p>
        </w:tc>
        <w:tc>
          <w:tcPr>
            <w:tcW w:type="dxa" w:w="7128"/>
            <w:vAlign w:val="top"/>
            <w:tcMar>
              <w:top w:w="100" w:type="dxa"/>
              <w:start w:w="120" w:type="dxa"/>
              <w:bottom w:w="100" w:type="dxa"/>
              <w:end w:w="120" w:type="dxa"/>
            </w:tcMar>
          </w:tcPr>
          <w:p>
            <w:pPr>
              <w:spacing w:after="0" w:line="252" w:lineRule="auto"/>
            </w:pPr>
            <w:r>
              <w:rPr>
                <w:rFonts w:ascii="Calibri" w:hAnsi="Calibri"/>
                <w:b w:val="0"/>
                <w:i w:val="0"/>
                <w:color w:val="000000"/>
                <w:sz w:val="19"/>
              </w:rPr>
              <w:t>Successful repeated order flows with no duplicate placement or cross-user leakage</w:t>
            </w:r>
          </w:p>
        </w:tc>
      </w:tr>
      <w:tr>
        <w:trPr>
          <w:cantSplit w:val="true"/>
        </w:trPr>
        <w:tc>
          <w:tcPr>
            <w:tcW w:type="dxa" w:w="2232"/>
            <w:vAlign w:val="top"/>
            <w:tcMar>
              <w:top w:w="100" w:type="dxa"/>
              <w:start w:w="120" w:type="dxa"/>
              <w:bottom w:w="100" w:type="dxa"/>
              <w:end w:w="120" w:type="dxa"/>
            </w:tcMar>
          </w:tcPr>
          <w:p>
            <w:pPr>
              <w:spacing w:after="0" w:line="252" w:lineRule="auto"/>
            </w:pPr>
            <w:r>
              <w:rPr>
                <w:rFonts w:ascii="Calibri" w:hAnsi="Calibri"/>
                <w:b w:val="0"/>
                <w:i w:val="0"/>
                <w:color w:val="000000"/>
                <w:sz w:val="19"/>
              </w:rPr>
              <w:t>Portability</w:t>
            </w:r>
          </w:p>
        </w:tc>
        <w:tc>
          <w:tcPr>
            <w:tcW w:type="dxa" w:w="7128"/>
            <w:vAlign w:val="top"/>
            <w:tcMar>
              <w:top w:w="100" w:type="dxa"/>
              <w:start w:w="120" w:type="dxa"/>
              <w:bottom w:w="100" w:type="dxa"/>
              <w:end w:w="120" w:type="dxa"/>
            </w:tcMar>
          </w:tcPr>
          <w:p>
            <w:pPr>
              <w:spacing w:after="0" w:line="252" w:lineRule="auto"/>
            </w:pPr>
            <w:r>
              <w:rPr>
                <w:rFonts w:ascii="Calibri" w:hAnsi="Calibri"/>
                <w:b w:val="0"/>
                <w:i w:val="0"/>
                <w:color w:val="000000"/>
                <w:sz w:val="19"/>
              </w:rPr>
              <w:t>Working through Ember and an independent client application</w:t>
            </w:r>
          </w:p>
        </w:tc>
      </w:tr>
      <w:tr>
        <w:trPr>
          <w:cantSplit w:val="true"/>
        </w:trPr>
        <w:tc>
          <w:tcPr>
            <w:tcW w:type="dxa" w:w="2232"/>
            <w:vAlign w:val="top"/>
            <w:tcMar>
              <w:top w:w="100" w:type="dxa"/>
              <w:start w:w="120" w:type="dxa"/>
              <w:bottom w:w="100" w:type="dxa"/>
              <w:end w:w="120" w:type="dxa"/>
            </w:tcMar>
          </w:tcPr>
          <w:p>
            <w:pPr>
              <w:spacing w:after="0" w:line="252" w:lineRule="auto"/>
            </w:pPr>
            <w:r>
              <w:rPr>
                <w:rFonts w:ascii="Calibri" w:hAnsi="Calibri"/>
                <w:b w:val="0"/>
                <w:i w:val="0"/>
                <w:color w:val="000000"/>
                <w:sz w:val="19"/>
              </w:rPr>
              <w:t>Safety</w:t>
            </w:r>
          </w:p>
        </w:tc>
        <w:tc>
          <w:tcPr>
            <w:tcW w:type="dxa" w:w="7128"/>
            <w:vAlign w:val="top"/>
            <w:tcMar>
              <w:top w:w="100" w:type="dxa"/>
              <w:start w:w="120" w:type="dxa"/>
              <w:bottom w:w="100" w:type="dxa"/>
              <w:end w:w="120" w:type="dxa"/>
            </w:tcMar>
          </w:tcPr>
          <w:p>
            <w:pPr>
              <w:spacing w:after="0" w:line="252" w:lineRule="auto"/>
            </w:pPr>
            <w:r>
              <w:rPr>
                <w:rFonts w:ascii="Calibri" w:hAnsi="Calibri"/>
                <w:b w:val="0"/>
                <w:i w:val="0"/>
                <w:color w:val="000000"/>
                <w:sz w:val="19"/>
              </w:rPr>
              <w:t>No exposed secrets or personal information; all consequential actions retain human gates</w:t>
            </w:r>
          </w:p>
        </w:tc>
      </w:tr>
      <w:tr>
        <w:trPr>
          <w:cantSplit w:val="true"/>
        </w:trPr>
        <w:tc>
          <w:tcPr>
            <w:tcW w:type="dxa" w:w="2232"/>
            <w:vAlign w:val="top"/>
            <w:tcMar>
              <w:top w:w="100" w:type="dxa"/>
              <w:start w:w="120" w:type="dxa"/>
              <w:bottom w:w="100" w:type="dxa"/>
              <w:end w:w="120" w:type="dxa"/>
            </w:tcMar>
          </w:tcPr>
          <w:p>
            <w:pPr>
              <w:spacing w:after="0" w:line="252" w:lineRule="auto"/>
            </w:pPr>
            <w:r>
              <w:rPr>
                <w:rFonts w:ascii="Calibri" w:hAnsi="Calibri"/>
                <w:b w:val="0"/>
                <w:i w:val="0"/>
                <w:color w:val="000000"/>
                <w:sz w:val="19"/>
              </w:rPr>
              <w:t>Builder ecosystem</w:t>
            </w:r>
          </w:p>
        </w:tc>
        <w:tc>
          <w:tcPr>
            <w:tcW w:type="dxa" w:w="7128"/>
            <w:vAlign w:val="top"/>
            <w:tcMar>
              <w:top w:w="100" w:type="dxa"/>
              <w:start w:w="120" w:type="dxa"/>
              <w:bottom w:w="100" w:type="dxa"/>
              <w:end w:w="120" w:type="dxa"/>
            </w:tcMar>
          </w:tcPr>
          <w:p>
            <w:pPr>
              <w:spacing w:after="0" w:line="252" w:lineRule="auto"/>
            </w:pPr>
            <w:r>
              <w:rPr>
                <w:rFonts w:ascii="Calibri" w:hAnsi="Calibri"/>
                <w:b w:val="0"/>
                <w:i w:val="0"/>
                <w:color w:val="000000"/>
                <w:sz w:val="19"/>
              </w:rPr>
              <w:t>Students, mentors and local software houses continuing with further governed projects</w:t>
            </w:r>
          </w:p>
        </w:tc>
      </w:tr>
      <w:tr>
        <w:trPr>
          <w:cantSplit w:val="true"/>
        </w:trPr>
        <w:tc>
          <w:tcPr>
            <w:tcW w:type="dxa" w:w="2232"/>
            <w:vAlign w:val="top"/>
            <w:tcMar>
              <w:top w:w="100" w:type="dxa"/>
              <w:start w:w="120" w:type="dxa"/>
              <w:bottom w:w="100" w:type="dxa"/>
              <w:end w:w="120" w:type="dxa"/>
            </w:tcMar>
          </w:tcPr>
          <w:p>
            <w:pPr>
              <w:spacing w:after="0" w:line="252" w:lineRule="auto"/>
            </w:pPr>
            <w:r>
              <w:rPr>
                <w:rFonts w:ascii="Calibri" w:hAnsi="Calibri"/>
                <w:b w:val="0"/>
                <w:i w:val="0"/>
                <w:color w:val="000000"/>
                <w:sz w:val="19"/>
              </w:rPr>
              <w:t>Showcase readiness</w:t>
            </w:r>
          </w:p>
        </w:tc>
        <w:tc>
          <w:tcPr>
            <w:tcW w:type="dxa" w:w="7128"/>
            <w:vAlign w:val="top"/>
            <w:tcMar>
              <w:top w:w="100" w:type="dxa"/>
              <w:start w:w="120" w:type="dxa"/>
              <w:bottom w:w="100" w:type="dxa"/>
              <w:end w:w="120" w:type="dxa"/>
            </w:tcMar>
          </w:tcPr>
          <w:p>
            <w:pPr>
              <w:spacing w:after="0" w:line="252" w:lineRule="auto"/>
            </w:pPr>
            <w:r>
              <w:rPr>
                <w:rFonts w:ascii="Calibri" w:hAnsi="Calibri"/>
                <w:b w:val="0"/>
                <w:i w:val="0"/>
                <w:color w:val="000000"/>
                <w:sz w:val="19"/>
              </w:rPr>
              <w:t>One solution suitable for a supervised public demonstration after hardening</w:t>
            </w:r>
          </w:p>
        </w:tc>
      </w:tr>
    </w:tbl>
    <w:p>
      <w:pPr>
        <w:spacing w:after="20"/>
      </w:pPr>
    </w:p>
    <w:p>
      <w:pPr>
        <w:pStyle w:val="Heading1"/>
      </w:pPr>
      <w:r>
        <w:t>12. Decisions required before announcement</w:t>
      </w:r>
    </w:p>
    <w:p>
      <w:pPr>
        <w:pStyle w:val="ListNumber"/>
        <w:spacing w:after="100"/>
      </w:pPr>
      <w:r>
        <w:rPr>
          <w:rFonts w:ascii="Calibri" w:hAnsi="Calibri"/>
          <w:b w:val="0"/>
          <w:i w:val="0"/>
          <w:color w:val="000000"/>
          <w:sz w:val="22"/>
        </w:rPr>
        <w:t>Confirm participating PSHS campus/campuses, faculty sponsor and student eligibility.</w:t>
      </w:r>
    </w:p>
    <w:p>
      <w:pPr>
        <w:pStyle w:val="ListNumber"/>
        <w:spacing w:after="100"/>
      </w:pPr>
      <w:r>
        <w:rPr>
          <w:rFonts w:ascii="Calibri" w:hAnsi="Calibri"/>
          <w:b w:val="0"/>
          <w:i w:val="0"/>
          <w:color w:val="000000"/>
          <w:sz w:val="22"/>
        </w:rPr>
        <w:t>Confirm dates, team size, format, venue, mentor pool and safeguarding arrangements.</w:t>
      </w:r>
    </w:p>
    <w:p>
      <w:pPr>
        <w:pStyle w:val="ListNumber"/>
        <w:spacing w:after="100"/>
      </w:pPr>
      <w:r>
        <w:rPr>
          <w:rFonts w:ascii="Calibri" w:hAnsi="Calibri"/>
          <w:b w:val="0"/>
          <w:i w:val="0"/>
          <w:color w:val="000000"/>
          <w:sz w:val="22"/>
        </w:rPr>
        <w:t>Confirm Sandz sponsorship, hosting limits and demonstration-site feasibility.</w:t>
      </w:r>
    </w:p>
    <w:p>
      <w:pPr>
        <w:pStyle w:val="ListNumber"/>
        <w:spacing w:after="100"/>
      </w:pPr>
      <w:r>
        <w:rPr>
          <w:rFonts w:ascii="Calibri" w:hAnsi="Calibri"/>
          <w:b w:val="0"/>
          <w:i w:val="0"/>
          <w:color w:val="000000"/>
          <w:sz w:val="22"/>
        </w:rPr>
        <w:t>Approve challenge rules, judging panel, IP/license terms and acceptable-use policy.</w:t>
      </w:r>
    </w:p>
    <w:p>
      <w:pPr>
        <w:pStyle w:val="ListNumber"/>
        <w:spacing w:after="100"/>
      </w:pPr>
      <w:r>
        <w:rPr>
          <w:rFonts w:ascii="Calibri" w:hAnsi="Calibri"/>
          <w:b w:val="0"/>
          <w:i w:val="0"/>
          <w:color w:val="000000"/>
          <w:sz w:val="22"/>
        </w:rPr>
        <w:t>Define whether the final showcase remains simulated or progresses to a separately approved real outlet pilot.</w:t>
      </w:r>
    </w:p>
    <w:p>
      <w:pPr>
        <w:pStyle w:val="ListNumber"/>
        <w:spacing w:after="100"/>
      </w:pPr>
      <w:r>
        <w:rPr>
          <w:rFonts w:ascii="Calibri" w:hAnsi="Calibri"/>
          <w:b w:val="0"/>
          <w:i w:val="0"/>
          <w:color w:val="000000"/>
          <w:sz w:val="22"/>
        </w:rPr>
        <w:t>Prepare the KB Sandbox foundation assessment, Project template, Methods and evaluator rubric.</w:t>
      </w:r>
    </w:p>
    <w:p>
      <w:pPr>
        <w:pStyle w:val="Heading1"/>
      </w:pPr>
      <w:r>
        <w:t>Appendix A. Reference architecture</w:t>
      </w:r>
    </w:p>
    <w:p>
      <w:r>
        <w:rPr>
          <w:rFonts w:ascii="Calibri" w:hAnsi="Calibri"/>
          <w:b w:val="0"/>
          <w:i w:val="0"/>
          <w:color w:val="000000"/>
          <w:sz w:val="22"/>
        </w:rPr>
        <w:t>Customer interface (Ember, student app or kiosk) -&gt; KB Sandbox Project and/or authorized client gateway -&gt; signed user delegation -&gt; Fishball Stand agent/MCP server -&gt; menu and order state -&gt; trusted human confirmation -&gt; simulated operator workflow.</w:t>
      </w:r>
    </w:p>
    <w:p>
      <w:r>
        <w:rPr>
          <w:rFonts w:ascii="Calibri" w:hAnsi="Calibri"/>
          <w:b w:val="0"/>
          <w:i w:val="0"/>
          <w:color w:val="000000"/>
          <w:sz w:val="22"/>
        </w:rPr>
        <w:t>KB Sandbox remains the evidence, architecture, governance and evaluation layer. The agent remains portable and may serve other authorized applications through its documented contract.</w:t>
      </w:r>
    </w:p>
    <w:p>
      <w:pPr>
        <w:pStyle w:val="Heading1"/>
      </w:pPr>
      <w:r>
        <w:t>Appendix B. Expansion ideas</w:t>
      </w:r>
    </w:p>
    <w:p>
      <w:pPr>
        <w:pStyle w:val="ListBullet"/>
        <w:spacing w:after="80"/>
      </w:pPr>
      <w:r>
        <w:rPr>
          <w:rFonts w:ascii="Calibri" w:hAnsi="Calibri"/>
          <w:b w:val="0"/>
          <w:i w:val="0"/>
          <w:color w:val="000000"/>
          <w:sz w:val="22"/>
        </w:rPr>
        <w:t>Tagalog and regional-language ordering assistance.</w:t>
      </w:r>
    </w:p>
    <w:p>
      <w:pPr>
        <w:pStyle w:val="ListBullet"/>
        <w:spacing w:after="80"/>
      </w:pPr>
      <w:r>
        <w:rPr>
          <w:rFonts w:ascii="Calibri" w:hAnsi="Calibri"/>
          <w:b w:val="0"/>
          <w:i w:val="0"/>
          <w:color w:val="000000"/>
          <w:sz w:val="22"/>
        </w:rPr>
        <w:t>Visual menus, dietary filters and allergen warnings.</w:t>
      </w:r>
    </w:p>
    <w:p>
      <w:pPr>
        <w:pStyle w:val="ListBullet"/>
        <w:spacing w:after="80"/>
      </w:pPr>
      <w:r>
        <w:rPr>
          <w:rFonts w:ascii="Calibri" w:hAnsi="Calibri"/>
          <w:b w:val="0"/>
          <w:i w:val="0"/>
          <w:color w:val="000000"/>
          <w:sz w:val="22"/>
        </w:rPr>
        <w:t>Secure one-time delivery addresses represented to the agent by opaque identifiers.</w:t>
      </w:r>
    </w:p>
    <w:p>
      <w:pPr>
        <w:pStyle w:val="ListBullet"/>
        <w:spacing w:after="80"/>
      </w:pPr>
      <w:r>
        <w:rPr>
          <w:rFonts w:ascii="Calibri" w:hAnsi="Calibri"/>
          <w:b w:val="0"/>
          <w:i w:val="0"/>
          <w:color w:val="000000"/>
          <w:sz w:val="22"/>
        </w:rPr>
        <w:t>Stand inventory and low-stock notifications.</w:t>
      </w:r>
    </w:p>
    <w:p>
      <w:pPr>
        <w:pStyle w:val="ListBullet"/>
        <w:spacing w:after="80"/>
      </w:pPr>
      <w:r>
        <w:rPr>
          <w:rFonts w:ascii="Calibri" w:hAnsi="Calibri"/>
          <w:b w:val="0"/>
          <w:i w:val="0"/>
          <w:color w:val="000000"/>
          <w:sz w:val="22"/>
        </w:rPr>
        <w:t>Delivery-provider integration through a separately governed connector or MCP server.</w:t>
      </w:r>
    </w:p>
    <w:p>
      <w:pPr>
        <w:pStyle w:val="ListBullet"/>
        <w:spacing w:after="80"/>
      </w:pPr>
      <w:r>
        <w:rPr>
          <w:rFonts w:ascii="Calibri" w:hAnsi="Calibri"/>
          <w:b w:val="0"/>
          <w:i w:val="0"/>
          <w:color w:val="000000"/>
          <w:sz w:val="22"/>
        </w:rPr>
        <w:t>Invoice creation and processing for larger outlet or catering orders.</w:t>
      </w:r>
    </w:p>
    <w:p>
      <w:pPr>
        <w:pStyle w:val="ListBullet"/>
        <w:spacing w:after="80"/>
      </w:pPr>
      <w:r>
        <w:rPr>
          <w:rFonts w:ascii="Calibri" w:hAnsi="Calibri"/>
          <w:b w:val="0"/>
          <w:i w:val="0"/>
          <w:color w:val="000000"/>
          <w:sz w:val="22"/>
        </w:rPr>
        <w:t>Reusable AI-readiness packages for other microbusinesses and community services.</w:t>
      </w:r>
    </w:p>
    <w:sectPr w:rsidR="00FC693F" w:rsidRPr="0006063C" w:rsidSect="00034616">
      <w:headerReference w:type="default" r:id="rId9"/>
      <w:footerReference w:type="default" r:id="rId10"/>
      <w:pgSz w:w="12240" w:h="15840"/>
      <w:pgMar w:top="1440" w:right="1440" w:bottom="1872"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right"/>
      </w:tabs>
      <w:jc w:val="left"/>
    </w:pPr>
    <w:r/>
    <w:r>
      <w:rPr>
        <w:rFonts w:ascii="Calibri" w:hAnsi="Calibri"/>
        <w:b/>
        <w:i w:val="0"/>
        <w:color w:val="5F6B7A"/>
        <w:sz w:val="18"/>
      </w:rPr>
      <w:t>Draft Proposal | For Discussion</w:t>
    </w:r>
    <w:r>
      <w:tab/>
    </w:r>
    <w:r>
      <w:rPr>
        <w:rFonts w:ascii="Calibri" w:hAnsi="Calibri"/>
        <w:b w:val="0"/>
        <w:i w:val="0"/>
        <w:color w:val="5F6B7A"/>
        <w:sz w:val="18"/>
      </w:rPr>
      <w:t xml:space="preserve">Page </w:t>
    </w:r>
    <w:fldSimple w:instr="PAGE"/>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1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7365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