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17365D"/>
          <w:sz w:val="54"/>
        </w:rPr>
        <w:t>OrderLunch Agent Guide</w:t>
      </w:r>
    </w:p>
    <w:p>
      <w:pPr>
        <w:spacing w:after="80"/>
      </w:pPr>
      <w:r>
        <w:rPr>
          <w:rFonts w:ascii="Calibri" w:hAnsi="Calibri"/>
          <w:b/>
          <w:i w:val="0"/>
          <w:color w:val="C58A00"/>
          <w:sz w:val="19"/>
        </w:rPr>
        <w:t>OPERATOR AND INTEGRATION REFERENCE</w:t>
      </w:r>
    </w:p>
    <w:p>
      <w:pPr>
        <w:spacing w:after="360"/>
      </w:pPr>
      <w:r>
        <w:rPr>
          <w:rFonts w:ascii="Calibri" w:hAnsi="Calibri"/>
          <w:b w:val="0"/>
          <w:i w:val="0"/>
          <w:color w:val="5F6B7A"/>
          <w:sz w:val="26"/>
        </w:rPr>
        <w:t>How Ember—or any approved client application—can browse, quote, confirm, place, track and cancel a simulated Filipino lunch order.</w:t>
      </w:r>
    </w:p>
    <w:tbl>
      <w:tblPr>
        <w:tblW w:type="auto" w:w="0"/>
        <w:jc w:val="center"/>
        <w:tblLayout w:type="fixed"/>
        <w:tblLook w:firstColumn="1" w:firstRow="1" w:lastColumn="0" w:lastRow="0" w:noHBand="0" w:noVBand="1" w:val="04A0"/>
      </w:tblPr>
      <w:tblGrid>
        <w:gridCol w:w="9360"/>
      </w:tblGrid>
      <w:tr>
        <w:tc>
          <w:tcPr>
            <w:tcW w:type="dxa" w:w="9360"/>
            <w:shd w:fill="E8EEF5"/>
            <w:tcMar>
              <w:top w:w="140" w:type="dxa"/>
              <w:start w:w="180" w:type="dxa"/>
              <w:bottom w:w="140" w:type="dxa"/>
              <w:end w:w="180" w:type="dxa"/>
            </w:tcMar>
          </w:tcPr>
          <w:p>
            <w:pPr>
              <w:spacing w:after="80"/>
            </w:pPr>
            <w:r>
              <w:rPr>
                <w:rFonts w:ascii="Calibri" w:hAnsi="Calibri"/>
                <w:b/>
                <w:i w:val="0"/>
                <w:color w:val="17365D"/>
                <w:sz w:val="22"/>
              </w:rPr>
              <w:t>Current status</w:t>
            </w:r>
          </w:p>
          <w:p>
            <w:pPr>
              <w:spacing w:after="0"/>
            </w:pPr>
            <w:r>
              <w:rPr>
                <w:rFonts w:ascii="Calibri" w:hAnsi="Calibri"/>
                <w:b w:val="0"/>
                <w:i w:val="0"/>
                <w:color w:val="000000"/>
                <w:sz w:val="21"/>
              </w:rPr>
              <w:t>The MCP service is live on Railway and uses persistent PostgreSQL storage. It is a safe showcase: simulated outlets only, pay upon delivery, and no real payment, address or delivery-provider integration.</w:t>
            </w:r>
          </w:p>
        </w:tc>
      </w:tr>
    </w:tbl>
    <w:p>
      <w:pPr>
        <w:spacing w:after="20"/>
      </w:pPr>
    </w:p>
    <w:p>
      <w:pPr>
        <w:pStyle w:val="Heading1"/>
      </w:pPr>
      <w:r>
        <w:t>1. What the agent demonstrates</w:t>
      </w:r>
    </w:p>
    <w:p>
      <w:r>
        <w:rPr>
          <w:rFonts w:ascii="Calibri" w:hAnsi="Calibri"/>
          <w:b w:val="0"/>
          <w:i w:val="0"/>
          <w:color w:val="000000"/>
          <w:sz w:val="22"/>
        </w:rPr>
        <w:t>OrderLunch demonstrates a portable enterprise agent capability. KB Sandbox guides and governs the work, Ember provides one conversational interface, and independent web, mobile, kiosk or messaging applications may call the same registered MCP service.</w:t>
      </w:r>
    </w:p>
    <w:p>
      <w:pPr>
        <w:pStyle w:val="ListBullet"/>
        <w:spacing w:after="80"/>
      </w:pPr>
      <w:r>
        <w:rPr>
          <w:rFonts w:ascii="Calibri" w:hAnsi="Calibri"/>
          <w:b w:val="0"/>
          <w:i w:val="0"/>
          <w:color w:val="000000"/>
          <w:sz w:val="22"/>
        </w:rPr>
        <w:t>A documented MCP contract rather than interface-specific business logic.</w:t>
      </w:r>
    </w:p>
    <w:p>
      <w:pPr>
        <w:pStyle w:val="ListBullet"/>
        <w:spacing w:after="80"/>
      </w:pPr>
      <w:r>
        <w:rPr>
          <w:rFonts w:ascii="Calibri" w:hAnsi="Calibri"/>
          <w:b w:val="0"/>
          <w:i w:val="0"/>
          <w:color w:val="000000"/>
          <w:sz w:val="22"/>
        </w:rPr>
        <w:t>Project-bound delegated identity and least-privilege tool access.</w:t>
      </w:r>
    </w:p>
    <w:p>
      <w:pPr>
        <w:pStyle w:val="ListBullet"/>
        <w:spacing w:after="80"/>
      </w:pPr>
      <w:r>
        <w:rPr>
          <w:rFonts w:ascii="Calibri" w:hAnsi="Calibri"/>
          <w:b w:val="0"/>
          <w:i w:val="0"/>
          <w:color w:val="000000"/>
          <w:sz w:val="22"/>
        </w:rPr>
        <w:t>Server-authoritative menu prices and availability.</w:t>
      </w:r>
    </w:p>
    <w:p>
      <w:pPr>
        <w:pStyle w:val="ListBullet"/>
        <w:spacing w:after="80"/>
      </w:pPr>
      <w:r>
        <w:rPr>
          <w:rFonts w:ascii="Calibri" w:hAnsi="Calibri"/>
          <w:b w:val="0"/>
          <w:i w:val="0"/>
          <w:color w:val="000000"/>
          <w:sz w:val="22"/>
        </w:rPr>
        <w:t>Explicit human confirmation before placing or cancelling an order.</w:t>
      </w:r>
    </w:p>
    <w:p>
      <w:pPr>
        <w:pStyle w:val="ListBullet"/>
        <w:spacing w:after="80"/>
      </w:pPr>
      <w:r>
        <w:rPr>
          <w:rFonts w:ascii="Calibri" w:hAnsi="Calibri"/>
          <w:b w:val="0"/>
          <w:i w:val="0"/>
          <w:color w:val="000000"/>
          <w:sz w:val="22"/>
        </w:rPr>
        <w:t>Idempotent placement to prevent accidental duplicate orders.</w:t>
      </w:r>
    </w:p>
    <w:p>
      <w:pPr>
        <w:pStyle w:val="ListBullet"/>
        <w:spacing w:after="80"/>
      </w:pPr>
      <w:r>
        <w:rPr>
          <w:rFonts w:ascii="Calibri" w:hAnsi="Calibri"/>
          <w:b w:val="0"/>
          <w:i w:val="0"/>
          <w:color w:val="000000"/>
          <w:sz w:val="22"/>
        </w:rPr>
        <w:t>Persistent status and audit records.</w:t>
      </w:r>
    </w:p>
    <w:p>
      <w:pPr>
        <w:pStyle w:val="ListBullet"/>
        <w:spacing w:after="80"/>
      </w:pPr>
      <w:r>
        <w:rPr>
          <w:rFonts w:ascii="Calibri" w:hAnsi="Calibri"/>
          <w:b w:val="0"/>
          <w:i w:val="0"/>
          <w:color w:val="000000"/>
          <w:sz w:val="22"/>
        </w:rPr>
        <w:t>Explicit paymentTerms: pay_on_delivery; no payment credentials are collected.</w:t>
      </w:r>
    </w:p>
    <w:p>
      <w:pPr>
        <w:pStyle w:val="Heading1"/>
      </w:pPr>
      <w:r>
        <w:t>2. Live service</w:t>
      </w:r>
    </w:p>
    <w:tbl>
      <w:tblPr>
        <w:tblW w:type="auto" w:w="0"/>
        <w:jc w:val="center"/>
        <w:tblLayout w:type="fixed"/>
        <w:tblLook w:firstColumn="1" w:firstRow="1" w:lastColumn="0" w:lastRow="0" w:noHBand="0" w:noVBand="1" w:val="04A0"/>
      </w:tblPr>
      <w:tblGrid>
        <w:gridCol w:w="4680"/>
        <w:gridCol w:w="4680"/>
      </w:tblGrid>
      <w:tr>
        <w:trPr>
          <w:tblHeader w:val="true"/>
          <w:cantSplit w:val="true"/>
        </w:trPr>
        <w:tc>
          <w:tcPr>
            <w:tcW w:type="dxa" w:w="2232"/>
            <w:shd w:fill="E8EEF5"/>
            <w:tcMar>
              <w:top w:w="100" w:type="dxa"/>
              <w:start w:w="120" w:type="dxa"/>
              <w:bottom w:w="100" w:type="dxa"/>
              <w:end w:w="120" w:type="dxa"/>
            </w:tcMar>
          </w:tcPr>
          <w:p>
            <w:pPr>
              <w:spacing w:after="0" w:line="252" w:lineRule="auto"/>
            </w:pPr>
            <w:r>
              <w:rPr>
                <w:rFonts w:ascii="Calibri" w:hAnsi="Calibri"/>
                <w:b/>
                <w:i w:val="0"/>
                <w:color w:val="17365D"/>
                <w:sz w:val="19"/>
              </w:rPr>
              <w:t>Item</w:t>
            </w:r>
          </w:p>
        </w:tc>
        <w:tc>
          <w:tcPr>
            <w:tcW w:type="dxa" w:w="7128"/>
            <w:shd w:fill="E8EEF5"/>
            <w:tcMar>
              <w:top w:w="100" w:type="dxa"/>
              <w:start w:w="120" w:type="dxa"/>
              <w:bottom w:w="100" w:type="dxa"/>
              <w:end w:w="120" w:type="dxa"/>
            </w:tcMar>
          </w:tcPr>
          <w:p>
            <w:pPr>
              <w:spacing w:after="0" w:line="252" w:lineRule="auto"/>
            </w:pPr>
            <w:r>
              <w:rPr>
                <w:rFonts w:ascii="Calibri" w:hAnsi="Calibri"/>
                <w:b/>
                <w:i w:val="0"/>
                <w:color w:val="17365D"/>
                <w:sz w:val="19"/>
              </w:rPr>
              <w:t>Value</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MCP endpoint</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https://orderlunch-mcp-showcase-production.up.railway.app/mcp</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Health</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GET /healthz</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Readiness</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GET /readyz</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Transport</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MCP Streamable HTTP</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Authentication</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Gateway API key plus short-lived signed user delegation</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Currency</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PHP</w:t>
            </w:r>
          </w:p>
        </w:tc>
      </w:tr>
      <w:tr>
        <w:trPr>
          <w:cantSplit w:val="true"/>
        </w:trPr>
        <w:tc>
          <w:tcPr>
            <w:tcW w:type="dxa" w:w="2232"/>
            <w:vAlign w:val="top"/>
            <w:tcMar>
              <w:top w:w="100" w:type="dxa"/>
              <w:start w:w="120" w:type="dxa"/>
              <w:bottom w:w="100" w:type="dxa"/>
              <w:end w:w="120" w:type="dxa"/>
            </w:tcMar>
          </w:tcPr>
          <w:p>
            <w:pPr>
              <w:spacing w:after="0" w:line="252" w:lineRule="auto"/>
            </w:pPr>
            <w:r>
              <w:rPr>
                <w:rFonts w:ascii="Calibri" w:hAnsi="Calibri"/>
                <w:b w:val="0"/>
                <w:i w:val="0"/>
                <w:color w:val="000000"/>
                <w:sz w:val="19"/>
              </w:rPr>
              <w:t>Payment</w:t>
            </w:r>
          </w:p>
        </w:tc>
        <w:tc>
          <w:tcPr>
            <w:tcW w:type="dxa" w:w="7128"/>
            <w:vAlign w:val="top"/>
            <w:tcMar>
              <w:top w:w="100" w:type="dxa"/>
              <w:start w:w="120" w:type="dxa"/>
              <w:bottom w:w="100" w:type="dxa"/>
              <w:end w:w="120" w:type="dxa"/>
            </w:tcMar>
          </w:tcPr>
          <w:p>
            <w:pPr>
              <w:spacing w:after="0" w:line="252" w:lineRule="auto"/>
            </w:pPr>
            <w:r>
              <w:rPr>
                <w:rFonts w:ascii="Calibri" w:hAnsi="Calibri"/>
                <w:b w:val="0"/>
                <w:i w:val="0"/>
                <w:color w:val="000000"/>
                <w:sz w:val="19"/>
              </w:rPr>
              <w:t>Pay upon delivery</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FFF4D6"/>
            <w:tcMar>
              <w:top w:w="140" w:type="dxa"/>
              <w:start w:w="180" w:type="dxa"/>
              <w:bottom w:w="140" w:type="dxa"/>
              <w:end w:w="180" w:type="dxa"/>
            </w:tcMar>
          </w:tcPr>
          <w:p>
            <w:pPr>
              <w:spacing w:after="80"/>
            </w:pPr>
            <w:r>
              <w:rPr>
                <w:rFonts w:ascii="Calibri" w:hAnsi="Calibri"/>
                <w:b/>
                <w:i w:val="0"/>
                <w:color w:val="17365D"/>
                <w:sz w:val="22"/>
              </w:rPr>
              <w:t>Secret handling</w:t>
            </w:r>
          </w:p>
          <w:p>
            <w:pPr>
              <w:spacing w:after="0"/>
            </w:pPr>
            <w:r>
              <w:rPr>
                <w:rFonts w:ascii="Calibri" w:hAnsi="Calibri"/>
                <w:b w:val="0"/>
                <w:i w:val="0"/>
                <w:color w:val="000000"/>
                <w:sz w:val="21"/>
              </w:rPr>
              <w:t>Gateway keys and signing secrets belong in approved secret storage. Never place them in source code, chat messages, screenshots, ordinary database fields or documentation.</w:t>
            </w:r>
          </w:p>
        </w:tc>
      </w:tr>
    </w:tbl>
    <w:p>
      <w:pPr>
        <w:spacing w:after="20"/>
      </w:pPr>
    </w:p>
    <w:p>
      <w:pPr>
        <w:pStyle w:val="Heading1"/>
      </w:pPr>
      <w:r>
        <w:t>3. User journey</w:t>
      </w:r>
    </w:p>
    <w:p>
      <w:pPr>
        <w:pStyle w:val="ListNumber"/>
        <w:spacing w:after="100"/>
      </w:pPr>
      <w:r>
        <w:rPr>
          <w:rFonts w:ascii="Calibri" w:hAnsi="Calibri"/>
          <w:b w:val="0"/>
          <w:i w:val="0"/>
          <w:color w:val="000000"/>
          <w:sz w:val="22"/>
        </w:rPr>
        <w:t>Start from the client-specific KB Sandbox Project or another authorized application.</w:t>
      </w:r>
    </w:p>
    <w:p>
      <w:pPr>
        <w:pStyle w:val="ListNumber"/>
        <w:spacing w:after="100"/>
      </w:pPr>
      <w:r>
        <w:rPr>
          <w:rFonts w:ascii="Calibri" w:hAnsi="Calibri"/>
          <w:b w:val="0"/>
          <w:i w:val="0"/>
          <w:color w:val="000000"/>
          <w:sz w:val="22"/>
        </w:rPr>
        <w:t>Ask to browse outlets or describe the desired food, quantities and fulfilment method.</w:t>
      </w:r>
    </w:p>
    <w:p>
      <w:pPr>
        <w:pStyle w:val="ListNumber"/>
        <w:spacing w:after="100"/>
      </w:pPr>
      <w:r>
        <w:rPr>
          <w:rFonts w:ascii="Calibri" w:hAnsi="Calibri"/>
          <w:b w:val="0"/>
          <w:i w:val="0"/>
          <w:color w:val="000000"/>
          <w:sz w:val="22"/>
        </w:rPr>
        <w:t>Review server-provided menu items, prices and availability.</w:t>
      </w:r>
    </w:p>
    <w:p>
      <w:pPr>
        <w:pStyle w:val="ListNumber"/>
        <w:spacing w:after="100"/>
      </w:pPr>
      <w:r>
        <w:rPr>
          <w:rFonts w:ascii="Calibri" w:hAnsi="Calibri"/>
          <w:b w:val="0"/>
          <w:i w:val="0"/>
          <w:color w:val="000000"/>
          <w:sz w:val="22"/>
        </w:rPr>
        <w:t>Request a quotation. Confirm that the items, total, fulfilment and pay-upon-delivery term are correct.</w:t>
      </w:r>
    </w:p>
    <w:p>
      <w:pPr>
        <w:pStyle w:val="ListNumber"/>
        <w:spacing w:after="100"/>
      </w:pPr>
      <w:r>
        <w:rPr>
          <w:rFonts w:ascii="Calibri" w:hAnsi="Calibri"/>
          <w:b w:val="0"/>
          <w:i w:val="0"/>
          <w:color w:val="000000"/>
          <w:sz w:val="22"/>
        </w:rPr>
        <w:t>Request approval. Ember must stop and display the trusted confirmation control.</w:t>
      </w:r>
    </w:p>
    <w:p>
      <w:pPr>
        <w:pStyle w:val="ListNumber"/>
        <w:spacing w:after="100"/>
      </w:pPr>
      <w:r>
        <w:rPr>
          <w:rFonts w:ascii="Calibri" w:hAnsi="Calibri"/>
          <w:b w:val="0"/>
          <w:i w:val="0"/>
          <w:color w:val="000000"/>
          <w:sz w:val="22"/>
        </w:rPr>
        <w:t>Confirm through the trusted interface. The model cannot confirm on the user's behalf.</w:t>
      </w:r>
    </w:p>
    <w:p>
      <w:pPr>
        <w:pStyle w:val="ListNumber"/>
        <w:spacing w:after="100"/>
      </w:pPr>
      <w:r>
        <w:rPr>
          <w:rFonts w:ascii="Calibri" w:hAnsi="Calibri"/>
          <w:b w:val="0"/>
          <w:i w:val="0"/>
          <w:color w:val="000000"/>
          <w:sz w:val="22"/>
        </w:rPr>
        <w:t>Place the simulated order using a server-generated idempotency key.</w:t>
      </w:r>
    </w:p>
    <w:p>
      <w:pPr>
        <w:pStyle w:val="ListNumber"/>
        <w:spacing w:after="100"/>
      </w:pPr>
      <w:r>
        <w:rPr>
          <w:rFonts w:ascii="Calibri" w:hAnsi="Calibri"/>
          <w:b w:val="0"/>
          <w:i w:val="0"/>
          <w:color w:val="000000"/>
          <w:sz w:val="22"/>
        </w:rPr>
        <w:t>Check status or request cancellation. Cancellation has its own confirmation gate.</w:t>
      </w:r>
    </w:p>
    <w:p>
      <w:pPr>
        <w:pStyle w:val="Heading1"/>
      </w:pPr>
      <w:r>
        <w:t>4. Example prompts</w:t>
      </w:r>
    </w:p>
    <w:tbl>
      <w:tblPr>
        <w:tblW w:type="auto" w:w="0"/>
        <w:jc w:val="center"/>
        <w:tblLayout w:type="fixed"/>
        <w:tblLook w:firstColumn="1" w:firstRow="1" w:lastColumn="0" w:lastRow="0" w:noHBand="0" w:noVBand="1" w:val="04A0"/>
      </w:tblPr>
      <w:tblGrid>
        <w:gridCol w:w="4680"/>
        <w:gridCol w:w="4680"/>
      </w:tblGrid>
      <w:tr>
        <w:trPr>
          <w:tblHeader w:val="true"/>
          <w:cantSplit w:val="true"/>
        </w:trPr>
        <w:tc>
          <w:tcPr>
            <w:tcW w:type="dxa" w:w="1872"/>
            <w:shd w:fill="E8EEF5"/>
            <w:tcMar>
              <w:top w:w="100" w:type="dxa"/>
              <w:start w:w="120" w:type="dxa"/>
              <w:bottom w:w="100" w:type="dxa"/>
              <w:end w:w="120" w:type="dxa"/>
            </w:tcMar>
          </w:tcPr>
          <w:p>
            <w:pPr>
              <w:spacing w:after="0" w:line="252" w:lineRule="auto"/>
            </w:pPr>
            <w:r>
              <w:rPr>
                <w:rFonts w:ascii="Calibri" w:hAnsi="Calibri"/>
                <w:b/>
                <w:i w:val="0"/>
                <w:color w:val="17365D"/>
                <w:sz w:val="19"/>
              </w:rPr>
              <w:t>Intent</w:t>
            </w:r>
          </w:p>
        </w:tc>
        <w:tc>
          <w:tcPr>
            <w:tcW w:type="dxa" w:w="7488"/>
            <w:shd w:fill="E8EEF5"/>
            <w:tcMar>
              <w:top w:w="100" w:type="dxa"/>
              <w:start w:w="120" w:type="dxa"/>
              <w:bottom w:w="100" w:type="dxa"/>
              <w:end w:w="120" w:type="dxa"/>
            </w:tcMar>
          </w:tcPr>
          <w:p>
            <w:pPr>
              <w:spacing w:after="0" w:line="252" w:lineRule="auto"/>
            </w:pPr>
            <w:r>
              <w:rPr>
                <w:rFonts w:ascii="Calibri" w:hAnsi="Calibri"/>
                <w:b/>
                <w:i w:val="0"/>
                <w:color w:val="17365D"/>
                <w:sz w:val="19"/>
              </w:rPr>
              <w:t>Example</w:t>
            </w:r>
          </w:p>
        </w:tc>
      </w:tr>
      <w:tr>
        <w:trPr>
          <w:cantSplit w:val="true"/>
        </w:trPr>
        <w:tc>
          <w:tcPr>
            <w:tcW w:type="dxa" w:w="1872"/>
            <w:vAlign w:val="top"/>
            <w:tcMar>
              <w:top w:w="100" w:type="dxa"/>
              <w:start w:w="120" w:type="dxa"/>
              <w:bottom w:w="100" w:type="dxa"/>
              <w:end w:w="120" w:type="dxa"/>
            </w:tcMar>
          </w:tcPr>
          <w:p>
            <w:pPr>
              <w:spacing w:after="0" w:line="252" w:lineRule="auto"/>
            </w:pPr>
            <w:r>
              <w:rPr>
                <w:rFonts w:ascii="Calibri" w:hAnsi="Calibri"/>
                <w:b w:val="0"/>
                <w:i w:val="0"/>
                <w:color w:val="000000"/>
                <w:sz w:val="19"/>
              </w:rPr>
              <w:t>Explore</w:t>
            </w:r>
          </w:p>
        </w:tc>
        <w:tc>
          <w:tcPr>
            <w:tcW w:type="dxa" w:w="7488"/>
            <w:vAlign w:val="top"/>
            <w:tcMar>
              <w:top w:w="100" w:type="dxa"/>
              <w:start w:w="120" w:type="dxa"/>
              <w:bottom w:w="100" w:type="dxa"/>
              <w:end w:w="120" w:type="dxa"/>
            </w:tcMar>
          </w:tcPr>
          <w:p>
            <w:pPr>
              <w:spacing w:after="0" w:line="252" w:lineRule="auto"/>
            </w:pPr>
            <w:r>
              <w:rPr>
                <w:rFonts w:ascii="Calibri" w:hAnsi="Calibri"/>
                <w:b w:val="0"/>
                <w:i w:val="0"/>
                <w:color w:val="000000"/>
                <w:sz w:val="19"/>
              </w:rPr>
              <w:t>What lunch outlets and meals are available today?</w:t>
            </w:r>
          </w:p>
        </w:tc>
      </w:tr>
      <w:tr>
        <w:trPr>
          <w:cantSplit w:val="true"/>
        </w:trPr>
        <w:tc>
          <w:tcPr>
            <w:tcW w:type="dxa" w:w="1872"/>
            <w:vAlign w:val="top"/>
            <w:tcMar>
              <w:top w:w="100" w:type="dxa"/>
              <w:start w:w="120" w:type="dxa"/>
              <w:bottom w:w="100" w:type="dxa"/>
              <w:end w:w="120" w:type="dxa"/>
            </w:tcMar>
          </w:tcPr>
          <w:p>
            <w:pPr>
              <w:spacing w:after="0" w:line="252" w:lineRule="auto"/>
            </w:pPr>
            <w:r>
              <w:rPr>
                <w:rFonts w:ascii="Calibri" w:hAnsi="Calibri"/>
                <w:b w:val="0"/>
                <w:i w:val="0"/>
                <w:color w:val="000000"/>
                <w:sz w:val="19"/>
              </w:rPr>
              <w:t>Quote</w:t>
            </w:r>
          </w:p>
        </w:tc>
        <w:tc>
          <w:tcPr>
            <w:tcW w:type="dxa" w:w="7488"/>
            <w:vAlign w:val="top"/>
            <w:tcMar>
              <w:top w:w="100" w:type="dxa"/>
              <w:start w:w="120" w:type="dxa"/>
              <w:bottom w:w="100" w:type="dxa"/>
              <w:end w:w="120" w:type="dxa"/>
            </w:tcMar>
          </w:tcPr>
          <w:p>
            <w:pPr>
              <w:spacing w:after="0" w:line="252" w:lineRule="auto"/>
            </w:pPr>
            <w:r>
              <w:rPr>
                <w:rFonts w:ascii="Calibri" w:hAnsi="Calibri"/>
                <w:b w:val="0"/>
                <w:i w:val="0"/>
                <w:color w:val="000000"/>
                <w:sz w:val="19"/>
              </w:rPr>
              <w:t>Prepare a delivery quotation for two Chicken Adobo Rice meals.</w:t>
            </w:r>
          </w:p>
        </w:tc>
      </w:tr>
      <w:tr>
        <w:trPr>
          <w:cantSplit w:val="true"/>
        </w:trPr>
        <w:tc>
          <w:tcPr>
            <w:tcW w:type="dxa" w:w="1872"/>
            <w:vAlign w:val="top"/>
            <w:tcMar>
              <w:top w:w="100" w:type="dxa"/>
              <w:start w:w="120" w:type="dxa"/>
              <w:bottom w:w="100" w:type="dxa"/>
              <w:end w:w="120" w:type="dxa"/>
            </w:tcMar>
          </w:tcPr>
          <w:p>
            <w:pPr>
              <w:spacing w:after="0" w:line="252" w:lineRule="auto"/>
            </w:pPr>
            <w:r>
              <w:rPr>
                <w:rFonts w:ascii="Calibri" w:hAnsi="Calibri"/>
                <w:b w:val="0"/>
                <w:i w:val="0"/>
                <w:color w:val="000000"/>
                <w:sz w:val="19"/>
              </w:rPr>
              <w:t>Confirm terms</w:t>
            </w:r>
          </w:p>
        </w:tc>
        <w:tc>
          <w:tcPr>
            <w:tcW w:type="dxa" w:w="7488"/>
            <w:vAlign w:val="top"/>
            <w:tcMar>
              <w:top w:w="100" w:type="dxa"/>
              <w:start w:w="120" w:type="dxa"/>
              <w:bottom w:w="100" w:type="dxa"/>
              <w:end w:w="120" w:type="dxa"/>
            </w:tcMar>
          </w:tcPr>
          <w:p>
            <w:pPr>
              <w:spacing w:after="0" w:line="252" w:lineRule="auto"/>
            </w:pPr>
            <w:r>
              <w:rPr>
                <w:rFonts w:ascii="Calibri" w:hAnsi="Calibri"/>
                <w:b w:val="0"/>
                <w:i w:val="0"/>
                <w:color w:val="000000"/>
                <w:sz w:val="19"/>
              </w:rPr>
              <w:t>Show the total and confirm whether this is pay upon delivery.</w:t>
            </w:r>
          </w:p>
        </w:tc>
      </w:tr>
      <w:tr>
        <w:trPr>
          <w:cantSplit w:val="true"/>
        </w:trPr>
        <w:tc>
          <w:tcPr>
            <w:tcW w:type="dxa" w:w="1872"/>
            <w:vAlign w:val="top"/>
            <w:tcMar>
              <w:top w:w="100" w:type="dxa"/>
              <w:start w:w="120" w:type="dxa"/>
              <w:bottom w:w="100" w:type="dxa"/>
              <w:end w:w="120" w:type="dxa"/>
            </w:tcMar>
          </w:tcPr>
          <w:p>
            <w:pPr>
              <w:spacing w:after="0" w:line="252" w:lineRule="auto"/>
            </w:pPr>
            <w:r>
              <w:rPr>
                <w:rFonts w:ascii="Calibri" w:hAnsi="Calibri"/>
                <w:b w:val="0"/>
                <w:i w:val="0"/>
                <w:color w:val="000000"/>
                <w:sz w:val="19"/>
              </w:rPr>
              <w:t>Track</w:t>
            </w:r>
          </w:p>
        </w:tc>
        <w:tc>
          <w:tcPr>
            <w:tcW w:type="dxa" w:w="7488"/>
            <w:vAlign w:val="top"/>
            <w:tcMar>
              <w:top w:w="100" w:type="dxa"/>
              <w:start w:w="120" w:type="dxa"/>
              <w:bottom w:w="100" w:type="dxa"/>
              <w:end w:w="120" w:type="dxa"/>
            </w:tcMar>
          </w:tcPr>
          <w:p>
            <w:pPr>
              <w:spacing w:after="0" w:line="252" w:lineRule="auto"/>
            </w:pPr>
            <w:r>
              <w:rPr>
                <w:rFonts w:ascii="Calibri" w:hAnsi="Calibri"/>
                <w:b w:val="0"/>
                <w:i w:val="0"/>
                <w:color w:val="000000"/>
                <w:sz w:val="19"/>
              </w:rPr>
              <w:t>What is the status of my most recent lunch order?</w:t>
            </w:r>
          </w:p>
        </w:tc>
      </w:tr>
      <w:tr>
        <w:trPr>
          <w:cantSplit w:val="true"/>
        </w:trPr>
        <w:tc>
          <w:tcPr>
            <w:tcW w:type="dxa" w:w="1872"/>
            <w:vAlign w:val="top"/>
            <w:tcMar>
              <w:top w:w="100" w:type="dxa"/>
              <w:start w:w="120" w:type="dxa"/>
              <w:bottom w:w="100" w:type="dxa"/>
              <w:end w:w="120" w:type="dxa"/>
            </w:tcMar>
          </w:tcPr>
          <w:p>
            <w:pPr>
              <w:spacing w:after="0" w:line="252" w:lineRule="auto"/>
            </w:pPr>
            <w:r>
              <w:rPr>
                <w:rFonts w:ascii="Calibri" w:hAnsi="Calibri"/>
                <w:b w:val="0"/>
                <w:i w:val="0"/>
                <w:color w:val="000000"/>
                <w:sz w:val="19"/>
              </w:rPr>
              <w:t>Cancel</w:t>
            </w:r>
          </w:p>
        </w:tc>
        <w:tc>
          <w:tcPr>
            <w:tcW w:type="dxa" w:w="7488"/>
            <w:vAlign w:val="top"/>
            <w:tcMar>
              <w:top w:w="100" w:type="dxa"/>
              <w:start w:w="120" w:type="dxa"/>
              <w:bottom w:w="100" w:type="dxa"/>
              <w:end w:w="120" w:type="dxa"/>
            </w:tcMar>
          </w:tcPr>
          <w:p>
            <w:pPr>
              <w:spacing w:after="0" w:line="252" w:lineRule="auto"/>
            </w:pPr>
            <w:r>
              <w:rPr>
                <w:rFonts w:ascii="Calibri" w:hAnsi="Calibri"/>
                <w:b w:val="0"/>
                <w:i w:val="0"/>
                <w:color w:val="000000"/>
                <w:sz w:val="19"/>
              </w:rPr>
              <w:t>Please help me cancel the order. Show me what I need to confirm.</w:t>
            </w:r>
          </w:p>
        </w:tc>
      </w:tr>
    </w:tbl>
    <w:p>
      <w:pPr>
        <w:spacing w:after="20"/>
      </w:pPr>
    </w:p>
    <w:p>
      <w:pPr>
        <w:pStyle w:val="Heading1"/>
      </w:pPr>
      <w:r>
        <w:t>5. Available tools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2376"/>
            <w:shd w:fill="E8EEF5"/>
            <w:tcMar>
              <w:top w:w="100" w:type="dxa"/>
              <w:start w:w="120" w:type="dxa"/>
              <w:bottom w:w="100" w:type="dxa"/>
              <w:end w:w="120" w:type="dxa"/>
            </w:tcMar>
          </w:tcPr>
          <w:p>
            <w:pPr>
              <w:spacing w:after="0" w:line="252" w:lineRule="auto"/>
            </w:pPr>
            <w:r>
              <w:rPr>
                <w:rFonts w:ascii="Calibri" w:hAnsi="Calibri"/>
                <w:b/>
                <w:i w:val="0"/>
                <w:color w:val="17365D"/>
                <w:sz w:val="19"/>
              </w:rPr>
              <w:t>Tool</w:t>
            </w:r>
          </w:p>
        </w:tc>
        <w:tc>
          <w:tcPr>
            <w:tcW w:type="dxa" w:w="4320"/>
            <w:shd w:fill="E8EEF5"/>
            <w:tcMar>
              <w:top w:w="100" w:type="dxa"/>
              <w:start w:w="120" w:type="dxa"/>
              <w:bottom w:w="100" w:type="dxa"/>
              <w:end w:w="120" w:type="dxa"/>
            </w:tcMar>
          </w:tcPr>
          <w:p>
            <w:pPr>
              <w:spacing w:after="0" w:line="252" w:lineRule="auto"/>
            </w:pPr>
            <w:r>
              <w:rPr>
                <w:rFonts w:ascii="Calibri" w:hAnsi="Calibri"/>
                <w:b/>
                <w:i w:val="0"/>
                <w:color w:val="17365D"/>
                <w:sz w:val="19"/>
              </w:rPr>
              <w:t>Purpose</w:t>
            </w:r>
          </w:p>
        </w:tc>
        <w:tc>
          <w:tcPr>
            <w:tcW w:type="dxa" w:w="2664"/>
            <w:shd w:fill="E8EEF5"/>
            <w:tcMar>
              <w:top w:w="100" w:type="dxa"/>
              <w:start w:w="120" w:type="dxa"/>
              <w:bottom w:w="100" w:type="dxa"/>
              <w:end w:w="120" w:type="dxa"/>
            </w:tcMar>
          </w:tcPr>
          <w:p>
            <w:pPr>
              <w:spacing w:after="0" w:line="252" w:lineRule="auto"/>
            </w:pPr>
            <w:r>
              <w:rPr>
                <w:rFonts w:ascii="Calibri" w:hAnsi="Calibri"/>
                <w:b/>
                <w:i w:val="0"/>
                <w:color w:val="17365D"/>
                <w:sz w:val="19"/>
              </w:rPr>
              <w:t>Control</w:t>
            </w:r>
          </w:p>
        </w:tc>
      </w:tr>
      <w:tr>
        <w:trPr>
          <w:cantSplit w:val="true"/>
        </w:trPr>
        <w:tc>
          <w:tcPr>
            <w:tcW w:type="dxa" w:w="2376"/>
            <w:vAlign w:val="top"/>
            <w:tcMar>
              <w:top w:w="100" w:type="dxa"/>
              <w:start w:w="120" w:type="dxa"/>
              <w:bottom w:w="100" w:type="dxa"/>
              <w:end w:w="120" w:type="dxa"/>
            </w:tcMar>
          </w:tcPr>
          <w:p>
            <w:pPr>
              <w:spacing w:after="0" w:line="252" w:lineRule="auto"/>
            </w:pPr>
            <w:r>
              <w:rPr>
                <w:rFonts w:ascii="Calibri" w:hAnsi="Calibri"/>
                <w:b w:val="0"/>
                <w:i w:val="0"/>
                <w:color w:val="000000"/>
                <w:sz w:val="19"/>
              </w:rPr>
              <w:t>list_outlets</w:t>
            </w:r>
          </w:p>
        </w:tc>
        <w:tc>
          <w:tcPr>
            <w:tcW w:type="dxa" w:w="4320"/>
            <w:vAlign w:val="top"/>
            <w:tcMar>
              <w:top w:w="100" w:type="dxa"/>
              <w:start w:w="120" w:type="dxa"/>
              <w:bottom w:w="100" w:type="dxa"/>
              <w:end w:w="120" w:type="dxa"/>
            </w:tcMar>
          </w:tcPr>
          <w:p>
            <w:pPr>
              <w:spacing w:after="0" w:line="252" w:lineRule="auto"/>
            </w:pPr>
            <w:r>
              <w:rPr>
                <w:rFonts w:ascii="Calibri" w:hAnsi="Calibri"/>
                <w:b w:val="0"/>
                <w:i w:val="0"/>
                <w:color w:val="000000"/>
                <w:sz w:val="19"/>
              </w:rPr>
              <w:t>List simulated food outlets</w:t>
            </w:r>
          </w:p>
        </w:tc>
        <w:tc>
          <w:tcPr>
            <w:tcW w:type="dxa" w:w="2664"/>
            <w:vAlign w:val="top"/>
            <w:tcMar>
              <w:top w:w="100" w:type="dxa"/>
              <w:start w:w="120" w:type="dxa"/>
              <w:bottom w:w="100" w:type="dxa"/>
              <w:end w:w="120" w:type="dxa"/>
            </w:tcMar>
          </w:tcPr>
          <w:p>
            <w:pPr>
              <w:spacing w:after="0" w:line="252" w:lineRule="auto"/>
            </w:pPr>
            <w:r>
              <w:rPr>
                <w:rFonts w:ascii="Calibri" w:hAnsi="Calibri"/>
                <w:b w:val="0"/>
                <w:i w:val="0"/>
                <w:color w:val="000000"/>
                <w:sz w:val="19"/>
              </w:rPr>
              <w:t>Read only</w:t>
            </w:r>
          </w:p>
        </w:tc>
      </w:tr>
      <w:tr>
        <w:trPr>
          <w:cantSplit w:val="true"/>
        </w:trPr>
        <w:tc>
          <w:tcPr>
            <w:tcW w:type="dxa" w:w="2376"/>
            <w:vAlign w:val="top"/>
            <w:tcMar>
              <w:top w:w="100" w:type="dxa"/>
              <w:start w:w="120" w:type="dxa"/>
              <w:bottom w:w="100" w:type="dxa"/>
              <w:end w:w="120" w:type="dxa"/>
            </w:tcMar>
          </w:tcPr>
          <w:p>
            <w:pPr>
              <w:spacing w:after="0" w:line="252" w:lineRule="auto"/>
            </w:pPr>
            <w:r>
              <w:rPr>
                <w:rFonts w:ascii="Calibri" w:hAnsi="Calibri"/>
                <w:b w:val="0"/>
                <w:i w:val="0"/>
                <w:color w:val="000000"/>
                <w:sz w:val="19"/>
              </w:rPr>
              <w:t>browse_menu</w:t>
            </w:r>
          </w:p>
        </w:tc>
        <w:tc>
          <w:tcPr>
            <w:tcW w:type="dxa" w:w="4320"/>
            <w:vAlign w:val="top"/>
            <w:tcMar>
              <w:top w:w="100" w:type="dxa"/>
              <w:start w:w="120" w:type="dxa"/>
              <w:bottom w:w="100" w:type="dxa"/>
              <w:end w:w="120" w:type="dxa"/>
            </w:tcMar>
          </w:tcPr>
          <w:p>
            <w:pPr>
              <w:spacing w:after="0" w:line="252" w:lineRule="auto"/>
            </w:pPr>
            <w:r>
              <w:rPr>
                <w:rFonts w:ascii="Calibri" w:hAnsi="Calibri"/>
                <w:b w:val="0"/>
                <w:i w:val="0"/>
                <w:color w:val="000000"/>
                <w:sz w:val="19"/>
              </w:rPr>
              <w:t>Return menu and authoritative prices</w:t>
            </w:r>
          </w:p>
        </w:tc>
        <w:tc>
          <w:tcPr>
            <w:tcW w:type="dxa" w:w="2664"/>
            <w:vAlign w:val="top"/>
            <w:tcMar>
              <w:top w:w="100" w:type="dxa"/>
              <w:start w:w="120" w:type="dxa"/>
              <w:bottom w:w="100" w:type="dxa"/>
              <w:end w:w="120" w:type="dxa"/>
            </w:tcMar>
          </w:tcPr>
          <w:p>
            <w:pPr>
              <w:spacing w:after="0" w:line="252" w:lineRule="auto"/>
            </w:pPr>
            <w:r>
              <w:rPr>
                <w:rFonts w:ascii="Calibri" w:hAnsi="Calibri"/>
                <w:b w:val="0"/>
                <w:i w:val="0"/>
                <w:color w:val="000000"/>
                <w:sz w:val="19"/>
              </w:rPr>
              <w:t>Read only</w:t>
            </w:r>
          </w:p>
        </w:tc>
      </w:tr>
      <w:tr>
        <w:trPr>
          <w:cantSplit w:val="true"/>
        </w:trPr>
        <w:tc>
          <w:tcPr>
            <w:tcW w:type="dxa" w:w="2376"/>
            <w:vAlign w:val="top"/>
            <w:tcMar>
              <w:top w:w="100" w:type="dxa"/>
              <w:start w:w="120" w:type="dxa"/>
              <w:bottom w:w="100" w:type="dxa"/>
              <w:end w:w="120" w:type="dxa"/>
            </w:tcMar>
          </w:tcPr>
          <w:p>
            <w:pPr>
              <w:spacing w:after="0" w:line="252" w:lineRule="auto"/>
            </w:pPr>
            <w:r>
              <w:rPr>
                <w:rFonts w:ascii="Calibri" w:hAnsi="Calibri"/>
                <w:b w:val="0"/>
                <w:i w:val="0"/>
                <w:color w:val="000000"/>
                <w:sz w:val="19"/>
              </w:rPr>
              <w:t>check_availability</w:t>
            </w:r>
          </w:p>
        </w:tc>
        <w:tc>
          <w:tcPr>
            <w:tcW w:type="dxa" w:w="4320"/>
            <w:vAlign w:val="top"/>
            <w:tcMar>
              <w:top w:w="100" w:type="dxa"/>
              <w:start w:w="120" w:type="dxa"/>
              <w:bottom w:w="100" w:type="dxa"/>
              <w:end w:w="120" w:type="dxa"/>
            </w:tcMar>
          </w:tcPr>
          <w:p>
            <w:pPr>
              <w:spacing w:after="0" w:line="252" w:lineRule="auto"/>
            </w:pPr>
            <w:r>
              <w:rPr>
                <w:rFonts w:ascii="Calibri" w:hAnsi="Calibri"/>
                <w:b w:val="0"/>
                <w:i w:val="0"/>
                <w:color w:val="000000"/>
                <w:sz w:val="19"/>
              </w:rPr>
              <w:t>Check item availability</w:t>
            </w:r>
          </w:p>
        </w:tc>
        <w:tc>
          <w:tcPr>
            <w:tcW w:type="dxa" w:w="2664"/>
            <w:vAlign w:val="top"/>
            <w:tcMar>
              <w:top w:w="100" w:type="dxa"/>
              <w:start w:w="120" w:type="dxa"/>
              <w:bottom w:w="100" w:type="dxa"/>
              <w:end w:w="120" w:type="dxa"/>
            </w:tcMar>
          </w:tcPr>
          <w:p>
            <w:pPr>
              <w:spacing w:after="0" w:line="252" w:lineRule="auto"/>
            </w:pPr>
            <w:r>
              <w:rPr>
                <w:rFonts w:ascii="Calibri" w:hAnsi="Calibri"/>
                <w:b w:val="0"/>
                <w:i w:val="0"/>
                <w:color w:val="000000"/>
                <w:sz w:val="19"/>
              </w:rPr>
              <w:t>Read only</w:t>
            </w:r>
          </w:p>
        </w:tc>
      </w:tr>
      <w:tr>
        <w:trPr>
          <w:cantSplit w:val="true"/>
        </w:trPr>
        <w:tc>
          <w:tcPr>
            <w:tcW w:type="dxa" w:w="2376"/>
            <w:vAlign w:val="top"/>
            <w:tcMar>
              <w:top w:w="100" w:type="dxa"/>
              <w:start w:w="120" w:type="dxa"/>
              <w:bottom w:w="100" w:type="dxa"/>
              <w:end w:w="120" w:type="dxa"/>
            </w:tcMar>
          </w:tcPr>
          <w:p>
            <w:pPr>
              <w:spacing w:after="0" w:line="252" w:lineRule="auto"/>
            </w:pPr>
            <w:r>
              <w:rPr>
                <w:rFonts w:ascii="Calibri" w:hAnsi="Calibri"/>
                <w:b w:val="0"/>
                <w:i w:val="0"/>
                <w:color w:val="000000"/>
                <w:sz w:val="19"/>
              </w:rPr>
              <w:t>prepare_quotation</w:t>
            </w:r>
          </w:p>
        </w:tc>
        <w:tc>
          <w:tcPr>
            <w:tcW w:type="dxa" w:w="4320"/>
            <w:vAlign w:val="top"/>
            <w:tcMar>
              <w:top w:w="100" w:type="dxa"/>
              <w:start w:w="120" w:type="dxa"/>
              <w:bottom w:w="100" w:type="dxa"/>
              <w:end w:w="120" w:type="dxa"/>
            </w:tcMar>
          </w:tcPr>
          <w:p>
            <w:pPr>
              <w:spacing w:after="0" w:line="252" w:lineRule="auto"/>
            </w:pPr>
            <w:r>
              <w:rPr>
                <w:rFonts w:ascii="Calibri" w:hAnsi="Calibri"/>
                <w:b w:val="0"/>
                <w:i w:val="0"/>
                <w:color w:val="000000"/>
                <w:sz w:val="19"/>
              </w:rPr>
              <w:t>Create expiring immutable quotation</w:t>
            </w:r>
          </w:p>
        </w:tc>
        <w:tc>
          <w:tcPr>
            <w:tcW w:type="dxa" w:w="2664"/>
            <w:vAlign w:val="top"/>
            <w:tcMar>
              <w:top w:w="100" w:type="dxa"/>
              <w:start w:w="120" w:type="dxa"/>
              <w:bottom w:w="100" w:type="dxa"/>
              <w:end w:w="120" w:type="dxa"/>
            </w:tcMar>
          </w:tcPr>
          <w:p>
            <w:pPr>
              <w:spacing w:after="0" w:line="252" w:lineRule="auto"/>
            </w:pPr>
            <w:r>
              <w:rPr>
                <w:rFonts w:ascii="Calibri" w:hAnsi="Calibri"/>
                <w:b w:val="0"/>
                <w:i w:val="0"/>
                <w:color w:val="000000"/>
                <w:sz w:val="19"/>
              </w:rPr>
              <w:t>No purchase</w:t>
            </w:r>
          </w:p>
        </w:tc>
      </w:tr>
      <w:tr>
        <w:trPr>
          <w:cantSplit w:val="true"/>
        </w:trPr>
        <w:tc>
          <w:tcPr>
            <w:tcW w:type="dxa" w:w="2376"/>
            <w:vAlign w:val="top"/>
            <w:tcMar>
              <w:top w:w="100" w:type="dxa"/>
              <w:start w:w="120" w:type="dxa"/>
              <w:bottom w:w="100" w:type="dxa"/>
              <w:end w:w="120" w:type="dxa"/>
            </w:tcMar>
          </w:tcPr>
          <w:p>
            <w:pPr>
              <w:spacing w:after="0" w:line="252" w:lineRule="auto"/>
            </w:pPr>
            <w:r>
              <w:rPr>
                <w:rFonts w:ascii="Calibri" w:hAnsi="Calibri"/>
                <w:b w:val="0"/>
                <w:i w:val="0"/>
                <w:color w:val="000000"/>
                <w:sz w:val="19"/>
              </w:rPr>
              <w:t>request_order_approval</w:t>
            </w:r>
          </w:p>
        </w:tc>
        <w:tc>
          <w:tcPr>
            <w:tcW w:type="dxa" w:w="4320"/>
            <w:vAlign w:val="top"/>
            <w:tcMar>
              <w:top w:w="100" w:type="dxa"/>
              <w:start w:w="120" w:type="dxa"/>
              <w:bottom w:w="100" w:type="dxa"/>
              <w:end w:w="120" w:type="dxa"/>
            </w:tcMar>
          </w:tcPr>
          <w:p>
            <w:pPr>
              <w:spacing w:after="0" w:line="252" w:lineRule="auto"/>
            </w:pPr>
            <w:r>
              <w:rPr>
                <w:rFonts w:ascii="Calibri" w:hAnsi="Calibri"/>
                <w:b w:val="0"/>
                <w:i w:val="0"/>
                <w:color w:val="000000"/>
                <w:sz w:val="19"/>
              </w:rPr>
              <w:t>Create pending approval</w:t>
            </w:r>
          </w:p>
        </w:tc>
        <w:tc>
          <w:tcPr>
            <w:tcW w:type="dxa" w:w="2664"/>
            <w:vAlign w:val="top"/>
            <w:tcMar>
              <w:top w:w="100" w:type="dxa"/>
              <w:start w:w="120" w:type="dxa"/>
              <w:bottom w:w="100" w:type="dxa"/>
              <w:end w:w="120" w:type="dxa"/>
            </w:tcMar>
          </w:tcPr>
          <w:p>
            <w:pPr>
              <w:spacing w:after="0" w:line="252" w:lineRule="auto"/>
            </w:pPr>
            <w:r>
              <w:rPr>
                <w:rFonts w:ascii="Calibri" w:hAnsi="Calibri"/>
                <w:b w:val="0"/>
                <w:i w:val="0"/>
                <w:color w:val="000000"/>
                <w:sz w:val="19"/>
              </w:rPr>
              <w:t>Human gate follows</w:t>
            </w:r>
          </w:p>
        </w:tc>
      </w:tr>
      <w:tr>
        <w:trPr>
          <w:cantSplit w:val="true"/>
        </w:trPr>
        <w:tc>
          <w:tcPr>
            <w:tcW w:type="dxa" w:w="2376"/>
            <w:vAlign w:val="top"/>
            <w:tcMar>
              <w:top w:w="100" w:type="dxa"/>
              <w:start w:w="120" w:type="dxa"/>
              <w:bottom w:w="100" w:type="dxa"/>
              <w:end w:w="120" w:type="dxa"/>
            </w:tcMar>
          </w:tcPr>
          <w:p>
            <w:pPr>
              <w:spacing w:after="0" w:line="252" w:lineRule="auto"/>
            </w:pPr>
            <w:r>
              <w:rPr>
                <w:rFonts w:ascii="Calibri" w:hAnsi="Calibri"/>
                <w:b w:val="0"/>
                <w:i w:val="0"/>
                <w:color w:val="000000"/>
                <w:sz w:val="19"/>
              </w:rPr>
              <w:t>place_order</w:t>
            </w:r>
          </w:p>
        </w:tc>
        <w:tc>
          <w:tcPr>
            <w:tcW w:type="dxa" w:w="4320"/>
            <w:vAlign w:val="top"/>
            <w:tcMar>
              <w:top w:w="100" w:type="dxa"/>
              <w:start w:w="120" w:type="dxa"/>
              <w:bottom w:w="100" w:type="dxa"/>
              <w:end w:w="120" w:type="dxa"/>
            </w:tcMar>
          </w:tcPr>
          <w:p>
            <w:pPr>
              <w:spacing w:after="0" w:line="252" w:lineRule="auto"/>
            </w:pPr>
            <w:r>
              <w:rPr>
                <w:rFonts w:ascii="Calibri" w:hAnsi="Calibri"/>
                <w:b w:val="0"/>
                <w:i w:val="0"/>
                <w:color w:val="000000"/>
                <w:sz w:val="19"/>
              </w:rPr>
              <w:t>Place confirmed simulated order</w:t>
            </w:r>
          </w:p>
        </w:tc>
        <w:tc>
          <w:tcPr>
            <w:tcW w:type="dxa" w:w="2664"/>
            <w:vAlign w:val="top"/>
            <w:tcMar>
              <w:top w:w="100" w:type="dxa"/>
              <w:start w:w="120" w:type="dxa"/>
              <w:bottom w:w="100" w:type="dxa"/>
              <w:end w:w="120" w:type="dxa"/>
            </w:tcMar>
          </w:tcPr>
          <w:p>
            <w:pPr>
              <w:spacing w:after="0" w:line="252" w:lineRule="auto"/>
            </w:pPr>
            <w:r>
              <w:rPr>
                <w:rFonts w:ascii="Calibri" w:hAnsi="Calibri"/>
                <w:b w:val="0"/>
                <w:i w:val="0"/>
                <w:color w:val="000000"/>
                <w:sz w:val="19"/>
              </w:rPr>
              <w:t>Consequential + idempotent</w:t>
            </w:r>
          </w:p>
        </w:tc>
      </w:tr>
      <w:tr>
        <w:trPr>
          <w:cantSplit w:val="true"/>
        </w:trPr>
        <w:tc>
          <w:tcPr>
            <w:tcW w:type="dxa" w:w="2376"/>
            <w:vAlign w:val="top"/>
            <w:tcMar>
              <w:top w:w="100" w:type="dxa"/>
              <w:start w:w="120" w:type="dxa"/>
              <w:bottom w:w="100" w:type="dxa"/>
              <w:end w:w="120" w:type="dxa"/>
            </w:tcMar>
          </w:tcPr>
          <w:p>
            <w:pPr>
              <w:spacing w:after="0" w:line="252" w:lineRule="auto"/>
            </w:pPr>
            <w:r>
              <w:rPr>
                <w:rFonts w:ascii="Calibri" w:hAnsi="Calibri"/>
                <w:b w:val="0"/>
                <w:i w:val="0"/>
                <w:color w:val="000000"/>
                <w:sz w:val="19"/>
              </w:rPr>
              <w:t>get_order_status</w:t>
            </w:r>
          </w:p>
        </w:tc>
        <w:tc>
          <w:tcPr>
            <w:tcW w:type="dxa" w:w="4320"/>
            <w:vAlign w:val="top"/>
            <w:tcMar>
              <w:top w:w="100" w:type="dxa"/>
              <w:start w:w="120" w:type="dxa"/>
              <w:bottom w:w="100" w:type="dxa"/>
              <w:end w:w="120" w:type="dxa"/>
            </w:tcMar>
          </w:tcPr>
          <w:p>
            <w:pPr>
              <w:spacing w:after="0" w:line="252" w:lineRule="auto"/>
            </w:pPr>
            <w:r>
              <w:rPr>
                <w:rFonts w:ascii="Calibri" w:hAnsi="Calibri"/>
                <w:b w:val="0"/>
                <w:i w:val="0"/>
                <w:color w:val="000000"/>
                <w:sz w:val="19"/>
              </w:rPr>
              <w:t>Read caller's order</w:t>
            </w:r>
          </w:p>
        </w:tc>
        <w:tc>
          <w:tcPr>
            <w:tcW w:type="dxa" w:w="2664"/>
            <w:vAlign w:val="top"/>
            <w:tcMar>
              <w:top w:w="100" w:type="dxa"/>
              <w:start w:w="120" w:type="dxa"/>
              <w:bottom w:w="100" w:type="dxa"/>
              <w:end w:w="120" w:type="dxa"/>
            </w:tcMar>
          </w:tcPr>
          <w:p>
            <w:pPr>
              <w:spacing w:after="0" w:line="252" w:lineRule="auto"/>
            </w:pPr>
            <w:r>
              <w:rPr>
                <w:rFonts w:ascii="Calibri" w:hAnsi="Calibri"/>
                <w:b w:val="0"/>
                <w:i w:val="0"/>
                <w:color w:val="000000"/>
                <w:sz w:val="19"/>
              </w:rPr>
              <w:t>User/Project scoped</w:t>
            </w:r>
          </w:p>
        </w:tc>
      </w:tr>
      <w:tr>
        <w:trPr>
          <w:cantSplit w:val="true"/>
        </w:trPr>
        <w:tc>
          <w:tcPr>
            <w:tcW w:type="dxa" w:w="2376"/>
            <w:vAlign w:val="top"/>
            <w:tcMar>
              <w:top w:w="100" w:type="dxa"/>
              <w:start w:w="120" w:type="dxa"/>
              <w:bottom w:w="100" w:type="dxa"/>
              <w:end w:w="120" w:type="dxa"/>
            </w:tcMar>
          </w:tcPr>
          <w:p>
            <w:pPr>
              <w:spacing w:after="0" w:line="252" w:lineRule="auto"/>
            </w:pPr>
            <w:r>
              <w:rPr>
                <w:rFonts w:ascii="Calibri" w:hAnsi="Calibri"/>
                <w:b w:val="0"/>
                <w:i w:val="0"/>
                <w:color w:val="000000"/>
                <w:sz w:val="19"/>
              </w:rPr>
              <w:t>cancel_order</w:t>
            </w:r>
          </w:p>
        </w:tc>
        <w:tc>
          <w:tcPr>
            <w:tcW w:type="dxa" w:w="4320"/>
            <w:vAlign w:val="top"/>
            <w:tcMar>
              <w:top w:w="100" w:type="dxa"/>
              <w:start w:w="120" w:type="dxa"/>
              <w:bottom w:w="100" w:type="dxa"/>
              <w:end w:w="120" w:type="dxa"/>
            </w:tcMar>
          </w:tcPr>
          <w:p>
            <w:pPr>
              <w:spacing w:after="0" w:line="252" w:lineRule="auto"/>
            </w:pPr>
            <w:r>
              <w:rPr>
                <w:rFonts w:ascii="Calibri" w:hAnsi="Calibri"/>
                <w:b w:val="0"/>
                <w:i w:val="0"/>
                <w:color w:val="000000"/>
                <w:sz w:val="19"/>
              </w:rPr>
              <w:t>Cancel eligible order</w:t>
            </w:r>
          </w:p>
        </w:tc>
        <w:tc>
          <w:tcPr>
            <w:tcW w:type="dxa" w:w="2664"/>
            <w:vAlign w:val="top"/>
            <w:tcMar>
              <w:top w:w="100" w:type="dxa"/>
              <w:start w:w="120" w:type="dxa"/>
              <w:bottom w:w="100" w:type="dxa"/>
              <w:end w:w="120" w:type="dxa"/>
            </w:tcMar>
          </w:tcPr>
          <w:p>
            <w:pPr>
              <w:spacing w:after="0" w:line="252" w:lineRule="auto"/>
            </w:pPr>
            <w:r>
              <w:rPr>
                <w:rFonts w:ascii="Calibri" w:hAnsi="Calibri"/>
                <w:b w:val="0"/>
                <w:i w:val="0"/>
                <w:color w:val="000000"/>
                <w:sz w:val="19"/>
              </w:rPr>
              <w:t>Separate confirmation</w:t>
            </w:r>
          </w:p>
        </w:tc>
      </w:tr>
      <w:tr>
        <w:trPr>
          <w:cantSplit w:val="true"/>
        </w:trPr>
        <w:tc>
          <w:tcPr>
            <w:tcW w:type="dxa" w:w="2376"/>
            <w:vAlign w:val="top"/>
            <w:tcMar>
              <w:top w:w="100" w:type="dxa"/>
              <w:start w:w="120" w:type="dxa"/>
              <w:bottom w:w="100" w:type="dxa"/>
              <w:end w:w="120" w:type="dxa"/>
            </w:tcMar>
          </w:tcPr>
          <w:p>
            <w:pPr>
              <w:spacing w:after="0" w:line="252" w:lineRule="auto"/>
            </w:pPr>
            <w:r>
              <w:rPr>
                <w:rFonts w:ascii="Calibri" w:hAnsi="Calibri"/>
                <w:b w:val="0"/>
                <w:i w:val="0"/>
                <w:color w:val="000000"/>
                <w:sz w:val="19"/>
              </w:rPr>
              <w:t>advance_order_state</w:t>
            </w:r>
          </w:p>
        </w:tc>
        <w:tc>
          <w:tcPr>
            <w:tcW w:type="dxa" w:w="4320"/>
            <w:vAlign w:val="top"/>
            <w:tcMar>
              <w:top w:w="100" w:type="dxa"/>
              <w:start w:w="120" w:type="dxa"/>
              <w:bottom w:w="100" w:type="dxa"/>
              <w:end w:w="120" w:type="dxa"/>
            </w:tcMar>
          </w:tcPr>
          <w:p>
            <w:pPr>
              <w:spacing w:after="0" w:line="252" w:lineRule="auto"/>
            </w:pPr>
            <w:r>
              <w:rPr>
                <w:rFonts w:ascii="Calibri" w:hAnsi="Calibri"/>
                <w:b w:val="0"/>
                <w:i w:val="0"/>
                <w:color w:val="000000"/>
                <w:sz w:val="19"/>
              </w:rPr>
              <w:t>Advance demonstration state</w:t>
            </w:r>
          </w:p>
        </w:tc>
        <w:tc>
          <w:tcPr>
            <w:tcW w:type="dxa" w:w="2664"/>
            <w:vAlign w:val="top"/>
            <w:tcMar>
              <w:top w:w="100" w:type="dxa"/>
              <w:start w:w="120" w:type="dxa"/>
              <w:bottom w:w="100" w:type="dxa"/>
              <w:end w:w="120" w:type="dxa"/>
            </w:tcMar>
          </w:tcPr>
          <w:p>
            <w:pPr>
              <w:spacing w:after="0" w:line="252" w:lineRule="auto"/>
            </w:pPr>
            <w:r>
              <w:rPr>
                <w:rFonts w:ascii="Calibri" w:hAnsi="Calibri"/>
                <w:b w:val="0"/>
                <w:i w:val="0"/>
                <w:color w:val="000000"/>
                <w:sz w:val="19"/>
              </w:rPr>
              <w:t>Test operator only</w:t>
            </w:r>
          </w:p>
        </w:tc>
      </w:tr>
    </w:tbl>
    <w:p>
      <w:pPr>
        <w:spacing w:after="20"/>
      </w:pPr>
    </w:p>
    <w:p>
      <w:pPr>
        <w:pStyle w:val="Heading1"/>
      </w:pPr>
      <w:r>
        <w:t>6. Delivery address design</w:t>
      </w:r>
    </w:p>
    <w:p>
      <w:r>
        <w:rPr>
          <w:rFonts w:ascii="Calibri" w:hAnsi="Calibri"/>
          <w:b w:val="0"/>
          <w:i w:val="0"/>
          <w:color w:val="000000"/>
          <w:sz w:val="22"/>
        </w:rPr>
        <w:t>The current showcase does not collect an address. The recommended next phase keeps personal addresses outside model prompts and ordinary chat history:</w:t>
      </w:r>
    </w:p>
    <w:p>
      <w:pPr>
        <w:pStyle w:val="ListBullet"/>
        <w:spacing w:after="80"/>
      </w:pPr>
      <w:r>
        <w:rPr>
          <w:rFonts w:ascii="Calibri" w:hAnsi="Calibri"/>
          <w:b w:val="0"/>
          <w:i w:val="0"/>
          <w:color w:val="000000"/>
          <w:sz w:val="22"/>
        </w:rPr>
        <w:t>Ember opens a trusted address form after the user selects Delivery.</w:t>
      </w:r>
    </w:p>
    <w:p>
      <w:pPr>
        <w:pStyle w:val="ListBullet"/>
        <w:spacing w:after="80"/>
      </w:pPr>
      <w:r>
        <w:rPr>
          <w:rFonts w:ascii="Calibri" w:hAnsi="Calibri"/>
          <w:b w:val="0"/>
          <w:i w:val="0"/>
          <w:color w:val="000000"/>
          <w:sz w:val="22"/>
        </w:rPr>
        <w:t>The user selects an approved office location, a private saved address or a one-time address.</w:t>
      </w:r>
    </w:p>
    <w:p>
      <w:pPr>
        <w:pStyle w:val="ListBullet"/>
        <w:spacing w:after="80"/>
      </w:pPr>
      <w:r>
        <w:rPr>
          <w:rFonts w:ascii="Calibri" w:hAnsi="Calibri"/>
          <w:b w:val="0"/>
          <w:i w:val="0"/>
          <w:color w:val="000000"/>
          <w:sz w:val="22"/>
        </w:rPr>
        <w:t>The trusted service validates the address and returns an opaque deliveryAddressId.</w:t>
      </w:r>
    </w:p>
    <w:p>
      <w:pPr>
        <w:pStyle w:val="ListBullet"/>
        <w:spacing w:after="80"/>
      </w:pPr>
      <w:r>
        <w:rPr>
          <w:rFonts w:ascii="Calibri" w:hAnsi="Calibri"/>
          <w:b w:val="0"/>
          <w:i w:val="0"/>
          <w:color w:val="000000"/>
          <w:sz w:val="22"/>
        </w:rPr>
        <w:t>The MCP order receives the identifier—not the full address in the prompt.</w:t>
      </w:r>
    </w:p>
    <w:p>
      <w:pPr>
        <w:pStyle w:val="ListBullet"/>
        <w:spacing w:after="80"/>
      </w:pPr>
      <w:r>
        <w:rPr>
          <w:rFonts w:ascii="Calibri" w:hAnsi="Calibri"/>
          <w:b w:val="0"/>
          <w:i w:val="0"/>
          <w:color w:val="000000"/>
          <w:sz w:val="22"/>
        </w:rPr>
        <w:t>The final confirmation shows the human-readable address, order total and pay-upon-delivery terms.</w:t>
      </w:r>
    </w:p>
    <w:p>
      <w:pPr>
        <w:pStyle w:val="ListBullet"/>
        <w:spacing w:after="80"/>
      </w:pPr>
      <w:r>
        <w:rPr>
          <w:rFonts w:ascii="Calibri" w:hAnsi="Calibri"/>
          <w:b w:val="0"/>
          <w:i w:val="0"/>
          <w:color w:val="000000"/>
          <w:sz w:val="22"/>
        </w:rPr>
        <w:t>Addresses are encrypted, access-controlled, excluded from logs, and shared with a delivery provider only after confirmation.</w:t>
      </w:r>
    </w:p>
    <w:p>
      <w:pPr>
        <w:pStyle w:val="Heading1"/>
      </w:pPr>
      <w:r>
        <w:t>7. Images and storefront presentation</w:t>
      </w:r>
    </w:p>
    <w:p>
      <w:r>
        <w:rPr>
          <w:rFonts w:ascii="Calibri" w:hAnsi="Calibri"/>
          <w:b w:val="0"/>
          <w:i w:val="0"/>
          <w:color w:val="000000"/>
          <w:sz w:val="22"/>
        </w:rPr>
        <w:t>A future version can return hosted storefront and menu-image URLs together with structured item data. Ember and independent applications can render visual menu cards while retaining server-authoritative names, prices, allergens and availability. The model must never invent images, prices or availability.</w:t>
      </w:r>
    </w:p>
    <w:p>
      <w:pPr>
        <w:pStyle w:val="Heading1"/>
      </w:pPr>
      <w:r>
        <w:t>8. Safety checklist</w:t>
      </w:r>
    </w:p>
    <w:p>
      <w:pPr>
        <w:pStyle w:val="ListBullet"/>
        <w:spacing w:after="80"/>
      </w:pPr>
      <w:r>
        <w:rPr>
          <w:rFonts w:ascii="Calibri" w:hAnsi="Calibri"/>
          <w:b w:val="0"/>
          <w:i w:val="0"/>
          <w:color w:val="000000"/>
          <w:sz w:val="22"/>
        </w:rPr>
        <w:t>Bind each call to the authenticated user and Project.</w:t>
      </w:r>
    </w:p>
    <w:p>
      <w:pPr>
        <w:pStyle w:val="ListBullet"/>
        <w:spacing w:after="80"/>
      </w:pPr>
      <w:r>
        <w:rPr>
          <w:rFonts w:ascii="Calibri" w:hAnsi="Calibri"/>
          <w:b w:val="0"/>
          <w:i w:val="0"/>
          <w:color w:val="000000"/>
          <w:sz w:val="22"/>
        </w:rPr>
        <w:t>Grant only required tools; reserve advance_order_state for demo operators.</w:t>
      </w:r>
    </w:p>
    <w:p>
      <w:pPr>
        <w:pStyle w:val="ListBullet"/>
        <w:spacing w:after="80"/>
      </w:pPr>
      <w:r>
        <w:rPr>
          <w:rFonts w:ascii="Calibri" w:hAnsi="Calibri"/>
          <w:b w:val="0"/>
          <w:i w:val="0"/>
          <w:color w:val="000000"/>
          <w:sz w:val="22"/>
        </w:rPr>
        <w:t>Never expose the human-confirmation operation as an MCP tool.</w:t>
      </w:r>
    </w:p>
    <w:p>
      <w:pPr>
        <w:pStyle w:val="ListBullet"/>
        <w:spacing w:after="80"/>
      </w:pPr>
      <w:r>
        <w:rPr>
          <w:rFonts w:ascii="Calibri" w:hAnsi="Calibri"/>
          <w:b w:val="0"/>
          <w:i w:val="0"/>
          <w:color w:val="000000"/>
          <w:sz w:val="22"/>
        </w:rPr>
        <w:t>Show the exact basket, price, payment term and expiry before confirmation.</w:t>
      </w:r>
    </w:p>
    <w:p>
      <w:pPr>
        <w:pStyle w:val="ListBullet"/>
        <w:spacing w:after="80"/>
      </w:pPr>
      <w:r>
        <w:rPr>
          <w:rFonts w:ascii="Calibri" w:hAnsi="Calibri"/>
          <w:b w:val="0"/>
          <w:i w:val="0"/>
          <w:color w:val="000000"/>
          <w:sz w:val="22"/>
        </w:rPr>
        <w:t>Keep personal addresses and secrets out of model context and logs.</w:t>
      </w:r>
    </w:p>
    <w:p>
      <w:pPr>
        <w:pStyle w:val="ListBullet"/>
        <w:spacing w:after="80"/>
      </w:pPr>
      <w:r>
        <w:rPr>
          <w:rFonts w:ascii="Calibri" w:hAnsi="Calibri"/>
          <w:b w:val="0"/>
          <w:i w:val="0"/>
          <w:color w:val="000000"/>
          <w:sz w:val="22"/>
        </w:rPr>
        <w:t>Treat allergens, food safety, merchant onboarding and real delivery as separate governed capabilities.</w:t>
      </w:r>
    </w:p>
    <w:p>
      <w:pPr>
        <w:pStyle w:val="Heading1"/>
      </w:pPr>
      <w:r>
        <w:t>9. Current limitations</w:t>
      </w:r>
    </w:p>
    <w:p>
      <w:r>
        <w:rPr>
          <w:rFonts w:ascii="Calibri" w:hAnsi="Calibri"/>
          <w:b w:val="0"/>
          <w:i w:val="0"/>
          <w:color w:val="000000"/>
          <w:sz w:val="22"/>
        </w:rPr>
        <w:t>The live service uses simulated outlets and menus. It does not contact merchants, reserve inventory, collect payment, store addresses, dispatch riders, calculate taxes or delivery fees, or guarantee food safety. Those capabilities require new contracts, evidence, controls and operator agreements before any real-world use.</w:t>
      </w:r>
    </w:p>
    <w:sectPr w:rsidR="00FC693F" w:rsidRPr="0006063C" w:rsidSect="00034616">
      <w:headerReference w:type="default" r:id="rId9"/>
      <w:footerReference w:type="default" r:id="rId10"/>
      <w:pgSz w:w="12240" w:h="15840"/>
      <w:pgMar w:top="1440" w:right="1440" w:bottom="187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jc w:val="left"/>
    </w:pPr>
    <w:r/>
    <w:r>
      <w:rPr>
        <w:rFonts w:ascii="Calibri" w:hAnsi="Calibri"/>
        <w:b/>
        <w:i w:val="0"/>
        <w:color w:val="5F6B7A"/>
        <w:sz w:val="18"/>
      </w:rPr>
      <w:t>KB Sandbox Showcase | OrderLunch</w:t>
    </w:r>
    <w:r>
      <w:tab/>
    </w:r>
    <w:r>
      <w:rPr>
        <w:rFonts w:ascii="Calibri" w:hAnsi="Calibri"/>
        <w:b w:val="0"/>
        <w:i w:val="0"/>
        <w:color w:val="5F6B7A"/>
        <w:sz w:val="18"/>
      </w:rPr>
      <w:t xml:space="preserve">Page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