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60"/>
      </w:pPr>
      <w:r>
        <w:rPr>
          <w:rFonts w:ascii="Arial" w:cs="Arial" w:eastAsia="Arial" w:hAnsi="Arial"/>
          <w:b/>
          <w:bCs/>
          <w:color w:val="0F2D4A"/>
          <w:sz w:val="72"/>
          <w:szCs w:val="72"/>
        </w:rPr>
        <w:t xml:space="preserve">VALUATION OS</w:t>
      </w:r>
    </w:p>
    <w:p>
      <w:pPr>
        <w:spacing w:before="0" w:after="60"/>
      </w:pPr>
      <w:r>
        <w:rPr>
          <w:rFonts w:ascii="Arial" w:cs="Arial" w:eastAsia="Arial" w:hAnsi="Arial"/>
          <w:color w:val="52606E"/>
          <w:sz w:val="40"/>
          <w:szCs w:val="40"/>
        </w:rPr>
        <w:t xml:space="preserve">Feasibility Report</w:t>
      </w:r>
    </w:p>
    <w:p>
      <w:pPr>
        <w:spacing w:before="0" w:after="0"/>
      </w:pPr>
      <w:r>
        <w:rPr>
          <w:rFonts w:ascii="Arial" w:cs="Arial" w:eastAsia="Arial" w:hAnsi="Arial"/>
          <w:color w:val="1A4A6E"/>
          <w:sz w:val="24"/>
          <w:szCs w:val="24"/>
        </w:rPr>
        <w:t xml:space="preserve">Technical Co-Founder Edition</w:t>
      </w:r>
    </w:p>
    <w:p>
      <w:pPr>
        <w:pBdr>
          <w:bottom w:val="single" w:color="0F2D4A" w:sz="6" w:space="1"/>
        </w:pBdr>
        <w:spacing w:before="240"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52606E"/>
                <w:sz w:val="19"/>
                <w:szCs w:val="19"/>
              </w:rPr>
              <w:t xml:space="preserve">Prepared by</w:t>
            </w:r>
          </w:p>
        </w:tc>
        <w:tc>
          <w:tcPr>
            <w:tcW w:type="dxa" w:w="58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Michael Adeleye — Founder, Paradigm Shift Multimedia Ltd</w:t>
            </w:r>
          </w:p>
        </w:tc>
      </w:tr>
      <w:tr>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2606E"/>
                <w:sz w:val="19"/>
                <w:szCs w:val="19"/>
              </w:rPr>
              <w:t xml:space="preserve">Date</w:t>
            </w:r>
          </w:p>
        </w:tc>
        <w:tc>
          <w:tcPr>
            <w:tcW w:type="dxa" w:w="58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March 2026</w:t>
            </w:r>
          </w:p>
        </w:tc>
      </w:tr>
      <w:tr>
        <w:tc>
          <w:tcPr>
            <w:tcW w:type="dxa" w:w="3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52606E"/>
                <w:sz w:val="19"/>
                <w:szCs w:val="19"/>
              </w:rPr>
              <w:t xml:space="preserve">Classification</w:t>
            </w:r>
          </w:p>
        </w:tc>
        <w:tc>
          <w:tcPr>
            <w:tcW w:type="dxa" w:w="58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Confidential — Shared under NDA</w:t>
            </w:r>
          </w:p>
        </w:tc>
      </w:tr>
      <w:tr>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2606E"/>
                <w:sz w:val="19"/>
                <w:szCs w:val="19"/>
              </w:rPr>
              <w:t xml:space="preserve">Purpose</w:t>
            </w:r>
          </w:p>
        </w:tc>
        <w:tc>
          <w:tcPr>
            <w:tcW w:type="dxa" w:w="58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Technical and commercial feasibility review for prospective co-founder partnership</w:t>
            </w:r>
          </w:p>
        </w:tc>
      </w:tr>
      <w:tr>
        <w:tc>
          <w:tcPr>
            <w:tcW w:type="dxa" w:w="3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52606E"/>
                <w:sz w:val="19"/>
                <w:szCs w:val="19"/>
              </w:rPr>
              <w:t xml:space="preserve">Product</w:t>
            </w:r>
          </w:p>
        </w:tc>
        <w:tc>
          <w:tcPr>
            <w:tcW w:type="dxa" w:w="58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Valuation OS — Valuation Practice Management Platform</w:t>
            </w:r>
          </w:p>
        </w:tc>
      </w:tr>
      <w:tr>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2606E"/>
                <w:sz w:val="19"/>
                <w:szCs w:val="19"/>
              </w:rPr>
              <w:t xml:space="preserve">Target market</w:t>
            </w:r>
          </w:p>
        </w:tc>
        <w:tc>
          <w:tcPr>
            <w:tcW w:type="dxa" w:w="58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Nigerian estate surveying and valuation firms</w:t>
            </w:r>
          </w:p>
        </w:tc>
      </w:tr>
      <w:tr>
        <w:tc>
          <w:tcPr>
            <w:tcW w:type="dxa" w:w="3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52606E"/>
                <w:sz w:val="19"/>
                <w:szCs w:val="19"/>
              </w:rPr>
              <w:t xml:space="preserve">Company No.</w:t>
            </w:r>
          </w:p>
        </w:tc>
        <w:tc>
          <w:tcPr>
            <w:tcW w:type="dxa" w:w="58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17048990 (Paradigm Shift Multimedia Ltd, UK)</w:t>
            </w:r>
          </w:p>
        </w:tc>
      </w:tr>
    </w:tbl>
    <w:p>
      <w:pPr>
        <w:spacing w:before="240" w:after="0"/>
      </w:pPr>
    </w:p>
    <w:p>
      <w:pPr>
        <w:shd w:fill="D6E8F5" w:val="clear"/>
        <w:spacing w:before="120" w:after="120"/>
      </w:pPr>
      <w:r>
        <w:rPr>
          <w:rFonts w:ascii="Arial" w:cs="Arial" w:eastAsia="Arial" w:hAnsi="Arial"/>
          <w:b/>
          <w:bCs/>
          <w:color w:val="0F2D4A"/>
          <w:sz w:val="18"/>
          <w:szCs w:val="18"/>
        </w:rPr>
        <w:t xml:space="preserve">  ℹ  This document is intended for a prospective technical co-founder. It covers the problem, solution, market opportunity, technical architecture, build plan, and partnership structure under consideration. All figures are founder estimates unless otherwise stated.</w:t>
      </w:r>
    </w:p>
    <w:p>
      <w:r>
        <w:br w:type="page"/>
      </w:r>
    </w:p>
    <w:p>
      <w:pPr>
        <w:pStyle w:val="Heading1"/>
        <w:spacing w:before="480" w:after="160"/>
      </w:pPr>
      <w:r>
        <w:rPr>
          <w:rFonts w:ascii="Arial" w:cs="Arial" w:eastAsia="Arial" w:hAnsi="Arial"/>
          <w:b/>
          <w:bCs/>
          <w:color w:val="0F2D4A"/>
          <w:sz w:val="34"/>
          <w:szCs w:val="34"/>
        </w:rPr>
        <w:t xml:space="preserve">1. Executive Summary</w:t>
      </w:r>
    </w:p>
    <w:p>
      <w:pPr>
        <w:spacing w:before="80" w:after="80"/>
        <w:jc w:val="left"/>
      </w:pPr>
      <w:r>
        <w:rPr>
          <w:rFonts w:ascii="Arial" w:cs="Arial" w:eastAsia="Arial" w:hAnsi="Arial"/>
          <w:b w:val="false"/>
          <w:bCs w:val="false"/>
          <w:color w:val="111111"/>
          <w:sz w:val="20"/>
          <w:szCs w:val="20"/>
        </w:rPr>
        <w:t xml:space="preserve">Valuation OS is a valuation operations platform built for Nigerian estate surveying and valuation firms. It replaces fragmented workflows — Word documents, spreadsheets, WhatsApp threads, scattered files, and manual comparable reuse — with one integrated system covering the full lifecycle of a valuation assignment.</w:t>
      </w:r>
    </w:p>
    <w:p>
      <w:pPr>
        <w:spacing w:before="80" w:after="0"/>
      </w:pPr>
    </w:p>
    <w:p>
      <w:pPr>
        <w:spacing w:before="80" w:after="80"/>
        <w:jc w:val="left"/>
      </w:pPr>
      <w:r>
        <w:rPr>
          <w:rFonts w:ascii="Arial" w:cs="Arial" w:eastAsia="Arial" w:hAnsi="Arial"/>
          <w:b w:val="false"/>
          <w:bCs w:val="false"/>
          <w:color w:val="111111"/>
          <w:sz w:val="20"/>
          <w:szCs w:val="20"/>
        </w:rPr>
        <w:t xml:space="preserve">The product is purpose-built for a market that is structurally underserved. Most Nigerian valuation firms are professionally trained, commercially active, and generating real revenue — but operationally they are running on tools designed for other industries or other decades. No existing platform addresses the Nigerian valuation workflow end-to-end.</w:t>
      </w:r>
    </w:p>
    <w:p>
      <w:pPr>
        <w:spacing w:before="80" w:after="0"/>
      </w:pPr>
    </w:p>
    <w:p>
      <w:pPr>
        <w:spacing w:before="80" w:after="80"/>
        <w:jc w:val="left"/>
      </w:pPr>
      <w:r>
        <w:rPr>
          <w:rFonts w:ascii="Arial" w:cs="Arial" w:eastAsia="Arial" w:hAnsi="Arial"/>
          <w:b w:val="false"/>
          <w:bCs w:val="false"/>
          <w:color w:val="111111"/>
          <w:sz w:val="20"/>
          <w:szCs w:val="20"/>
        </w:rPr>
        <w:t xml:space="preserve">The opportunity is to own the category. Valuation OS is not competing with global ERP vendors — it is building the first serious practice management system designed from the ground up for Nigerian valuation practice.</w:t>
      </w:r>
    </w:p>
    <w:p>
      <w:pPr>
        <w:spacing w:before="80" w:after="0"/>
      </w:pPr>
    </w:p>
    <w:p>
      <w:pPr>
        <w:shd w:fill="FFF8DC" w:val="clear"/>
        <w:spacing w:before="120" w:after="120"/>
      </w:pPr>
      <w:r>
        <w:rPr>
          <w:rFonts w:ascii="Arial" w:cs="Arial" w:eastAsia="Arial" w:hAnsi="Arial"/>
          <w:b/>
          <w:bCs/>
          <w:color w:val="B8860B"/>
          <w:sz w:val="18"/>
          <w:szCs w:val="18"/>
        </w:rPr>
        <w:t xml:space="preserve">  ★  The founding thesis: whoever builds the comparable data layer and workflow infrastructure for Nigerian valuation firms becomes infrastructure — not just software.</w:t>
      </w:r>
    </w:p>
    <w:p>
      <w:pPr>
        <w:spacing w:before="120" w:after="0"/>
      </w:pPr>
    </w:p>
    <w:p>
      <w:pPr>
        <w:pStyle w:val="Heading2"/>
        <w:spacing w:before="320" w:after="120"/>
      </w:pPr>
      <w:r>
        <w:rPr>
          <w:rFonts w:ascii="Arial" w:cs="Arial" w:eastAsia="Arial" w:hAnsi="Arial"/>
          <w:b/>
          <w:bCs/>
          <w:color w:val="0F2D4A"/>
          <w:sz w:val="26"/>
          <w:szCs w:val="26"/>
        </w:rPr>
        <w:t xml:space="preserve">1.1 What We Are Building</w:t>
      </w:r>
    </w:p>
    <w:p>
      <w:pPr>
        <w:spacing w:before="80" w:after="80"/>
        <w:jc w:val="left"/>
      </w:pPr>
      <w:r>
        <w:rPr>
          <w:rFonts w:ascii="Arial" w:cs="Arial" w:eastAsia="Arial" w:hAnsi="Arial"/>
          <w:b w:val="false"/>
          <w:bCs w:val="false"/>
          <w:color w:val="111111"/>
          <w:sz w:val="20"/>
          <w:szCs w:val="20"/>
        </w:rPr>
        <w:t xml:space="preserve">A multi-tenant SaaS platform with web and mobile applications covering:</w:t>
      </w:r>
    </w:p>
    <w:p>
      <w:pPr>
        <w:pStyle w:val="ListParagraph"/>
        <w:numPr>
          <w:ilvl w:val="0"/>
          <w:numId w:val="2"/>
        </w:numPr>
        <w:spacing w:before="60" w:after="60"/>
      </w:pPr>
      <w:r>
        <w:rPr>
          <w:rFonts w:ascii="Arial" w:cs="Arial" w:eastAsia="Arial" w:hAnsi="Arial"/>
          <w:color w:val="111111"/>
          <w:sz w:val="20"/>
          <w:szCs w:val="20"/>
        </w:rPr>
        <w:t xml:space="preserve">Instruction and case management — full 13-stage pipeline from enquiry to archived</w:t>
      </w:r>
    </w:p>
    <w:p>
      <w:pPr>
        <w:pStyle w:val="ListParagraph"/>
        <w:numPr>
          <w:ilvl w:val="0"/>
          <w:numId w:val="2"/>
        </w:numPr>
        <w:spacing w:before="60" w:after="60"/>
      </w:pPr>
      <w:r>
        <w:rPr>
          <w:rFonts w:ascii="Arial" w:cs="Arial" w:eastAsia="Arial" w:hAnsi="Arial"/>
          <w:color w:val="111111"/>
          <w:sz w:val="20"/>
          <w:szCs w:val="20"/>
        </w:rPr>
        <w:t xml:space="preserve">Structured site inspection capture — mobile-first with offline resilience</w:t>
      </w:r>
    </w:p>
    <w:p>
      <w:pPr>
        <w:pStyle w:val="ListParagraph"/>
        <w:numPr>
          <w:ilvl w:val="0"/>
          <w:numId w:val="2"/>
        </w:numPr>
        <w:spacing w:before="60" w:after="60"/>
      </w:pPr>
      <w:r>
        <w:rPr>
          <w:rFonts w:ascii="Arial" w:cs="Arial" w:eastAsia="Arial" w:hAnsi="Arial"/>
          <w:color w:val="111111"/>
          <w:sz w:val="20"/>
          <w:szCs w:val="20"/>
        </w:rPr>
        <w:t xml:space="preserve">Comparable evidence engine — searchable firm library that compounds with every job</w:t>
      </w:r>
    </w:p>
    <w:p>
      <w:pPr>
        <w:pStyle w:val="ListParagraph"/>
        <w:numPr>
          <w:ilvl w:val="0"/>
          <w:numId w:val="2"/>
        </w:numPr>
        <w:spacing w:before="60" w:after="60"/>
      </w:pPr>
      <w:r>
        <w:rPr>
          <w:rFonts w:ascii="Arial" w:cs="Arial" w:eastAsia="Arial" w:hAnsi="Arial"/>
          <w:color w:val="111111"/>
          <w:sz w:val="20"/>
          <w:szCs w:val="20"/>
        </w:rPr>
        <w:t xml:space="preserve">Valuation workbench — structured analysis with comparable side-by-side grid</w:t>
      </w:r>
    </w:p>
    <w:p>
      <w:pPr>
        <w:pStyle w:val="ListParagraph"/>
        <w:numPr>
          <w:ilvl w:val="0"/>
          <w:numId w:val="2"/>
        </w:numPr>
        <w:spacing w:before="60" w:after="60"/>
      </w:pPr>
      <w:r>
        <w:rPr>
          <w:rFonts w:ascii="Arial" w:cs="Arial" w:eastAsia="Arial" w:hAnsi="Arial"/>
          <w:color w:val="111111"/>
          <w:sz w:val="20"/>
          <w:szCs w:val="20"/>
        </w:rPr>
        <w:t xml:space="preserve">Professional report generation — PDF output from templates, no manual retyping</w:t>
      </w:r>
    </w:p>
    <w:p>
      <w:pPr>
        <w:pStyle w:val="ListParagraph"/>
        <w:numPr>
          <w:ilvl w:val="0"/>
          <w:numId w:val="2"/>
        </w:numPr>
        <w:spacing w:before="60" w:after="60"/>
      </w:pPr>
      <w:r>
        <w:rPr>
          <w:rFonts w:ascii="Arial" w:cs="Arial" w:eastAsia="Arial" w:hAnsi="Arial"/>
          <w:color w:val="111111"/>
          <w:sz w:val="20"/>
          <w:szCs w:val="20"/>
        </w:rPr>
        <w:t xml:space="preserve">Review, QA, and compliance — approval workflow with immutable audit trail</w:t>
      </w:r>
    </w:p>
    <w:p>
      <w:pPr>
        <w:pStyle w:val="ListParagraph"/>
        <w:numPr>
          <w:ilvl w:val="0"/>
          <w:numId w:val="2"/>
        </w:numPr>
        <w:spacing w:before="60" w:after="60"/>
      </w:pPr>
      <w:r>
        <w:rPr>
          <w:rFonts w:ascii="Arial" w:cs="Arial" w:eastAsia="Arial" w:hAnsi="Arial"/>
          <w:color w:val="111111"/>
          <w:sz w:val="20"/>
          <w:szCs w:val="20"/>
        </w:rPr>
        <w:t xml:space="preserve">Billing and invoicing — linked to cases, auto-advancing stage on payment</w:t>
      </w:r>
    </w:p>
    <w:p>
      <w:pPr>
        <w:pStyle w:val="ListParagraph"/>
        <w:numPr>
          <w:ilvl w:val="0"/>
          <w:numId w:val="2"/>
        </w:numPr>
        <w:spacing w:before="60" w:after="60"/>
      </w:pPr>
      <w:r>
        <w:rPr>
          <w:rFonts w:ascii="Arial" w:cs="Arial" w:eastAsia="Arial" w:hAnsi="Arial"/>
          <w:color w:val="111111"/>
          <w:sz w:val="20"/>
          <w:szCs w:val="20"/>
        </w:rPr>
        <w:t xml:space="preserve">Role-based dashboards — managing partner, valuer, reviewer, finance views</w:t>
      </w:r>
    </w:p>
    <w:p>
      <w:pPr>
        <w:pStyle w:val="ListParagraph"/>
        <w:numPr>
          <w:ilvl w:val="0"/>
          <w:numId w:val="2"/>
        </w:numPr>
        <w:spacing w:before="60" w:after="60"/>
      </w:pPr>
      <w:r>
        <w:rPr>
          <w:rFonts w:ascii="Arial" w:cs="Arial" w:eastAsia="Arial" w:hAnsi="Arial"/>
          <w:color w:val="111111"/>
          <w:sz w:val="20"/>
          <w:szCs w:val="20"/>
        </w:rPr>
        <w:t xml:space="preserve">Document management — central file library linked to cases, properties, clients</w:t>
      </w:r>
    </w:p>
    <w:p>
      <w:pPr>
        <w:spacing w:before="120" w:after="0"/>
      </w:pPr>
    </w:p>
    <w:p>
      <w:pPr>
        <w:pStyle w:val="Heading2"/>
        <w:spacing w:before="320" w:after="120"/>
      </w:pPr>
      <w:r>
        <w:rPr>
          <w:rFonts w:ascii="Arial" w:cs="Arial" w:eastAsia="Arial" w:hAnsi="Arial"/>
          <w:b/>
          <w:bCs/>
          <w:color w:val="0F2D4A"/>
          <w:sz w:val="26"/>
          <w:szCs w:val="26"/>
        </w:rPr>
        <w:t xml:space="preserve">1.2 Why Now</w:t>
      </w:r>
    </w:p>
    <w:p>
      <w:pPr>
        <w:pStyle w:val="ListParagraph"/>
        <w:numPr>
          <w:ilvl w:val="0"/>
          <w:numId w:val="2"/>
        </w:numPr>
        <w:spacing w:before="60" w:after="60"/>
      </w:pPr>
      <w:r>
        <w:rPr>
          <w:rFonts w:ascii="Arial" w:cs="Arial" w:eastAsia="Arial" w:hAnsi="Arial"/>
          <w:color w:val="111111"/>
          <w:sz w:val="20"/>
          <w:szCs w:val="20"/>
        </w:rPr>
        <w:t xml:space="preserve">NIESV professional membership is growing and firms are under increasing pressure to meet institutional client standards around documentation and audit trails</w:t>
      </w:r>
    </w:p>
    <w:p>
      <w:pPr>
        <w:pStyle w:val="ListParagraph"/>
        <w:numPr>
          <w:ilvl w:val="0"/>
          <w:numId w:val="2"/>
        </w:numPr>
        <w:spacing w:before="60" w:after="60"/>
      </w:pPr>
      <w:r>
        <w:rPr>
          <w:rFonts w:ascii="Arial" w:cs="Arial" w:eastAsia="Arial" w:hAnsi="Arial"/>
          <w:color w:val="111111"/>
          <w:sz w:val="20"/>
          <w:szCs w:val="20"/>
        </w:rPr>
        <w:t xml:space="preserve">Nigerian mortgage market expansion is driving demand for faster, more defensible valuations</w:t>
      </w:r>
    </w:p>
    <w:p>
      <w:pPr>
        <w:pStyle w:val="ListParagraph"/>
        <w:numPr>
          <w:ilvl w:val="0"/>
          <w:numId w:val="2"/>
        </w:numPr>
        <w:spacing w:before="60" w:after="60"/>
      </w:pPr>
      <w:r>
        <w:rPr>
          <w:rFonts w:ascii="Arial" w:cs="Arial" w:eastAsia="Arial" w:hAnsi="Arial"/>
          <w:color w:val="111111"/>
          <w:sz w:val="20"/>
          <w:szCs w:val="20"/>
        </w:rPr>
        <w:t xml:space="preserve">Smartphone penetration and 4G/5G coverage in Lagos, Abuja, and Port Harcourt have reached the level where mobile-first professional tools are viable</w:t>
      </w:r>
    </w:p>
    <w:p>
      <w:pPr>
        <w:pStyle w:val="ListParagraph"/>
        <w:numPr>
          <w:ilvl w:val="0"/>
          <w:numId w:val="2"/>
        </w:numPr>
        <w:spacing w:before="60" w:after="60"/>
      </w:pPr>
      <w:r>
        <w:rPr>
          <w:rFonts w:ascii="Arial" w:cs="Arial" w:eastAsia="Arial" w:hAnsi="Arial"/>
          <w:color w:val="111111"/>
          <w:sz w:val="20"/>
          <w:szCs w:val="20"/>
        </w:rPr>
        <w:t xml:space="preserve">No competitor has built a valuation-specific workflow platform for the Nigerian market — the field is open</w:t>
      </w:r>
    </w:p>
    <w:p>
      <w:r>
        <w:br w:type="page"/>
      </w:r>
    </w:p>
    <w:p>
      <w:pPr>
        <w:pStyle w:val="Heading1"/>
        <w:spacing w:before="480" w:after="160"/>
      </w:pPr>
      <w:r>
        <w:rPr>
          <w:rFonts w:ascii="Arial" w:cs="Arial" w:eastAsia="Arial" w:hAnsi="Arial"/>
          <w:b/>
          <w:bCs/>
          <w:color w:val="0F2D4A"/>
          <w:sz w:val="34"/>
          <w:szCs w:val="34"/>
        </w:rPr>
        <w:t xml:space="preserve">2. Market Opportunity</w:t>
      </w:r>
    </w:p>
    <w:p>
      <w:pPr>
        <w:pStyle w:val="Heading2"/>
        <w:spacing w:before="320" w:after="120"/>
      </w:pPr>
      <w:r>
        <w:rPr>
          <w:rFonts w:ascii="Arial" w:cs="Arial" w:eastAsia="Arial" w:hAnsi="Arial"/>
          <w:b/>
          <w:bCs/>
          <w:color w:val="0F2D4A"/>
          <w:sz w:val="26"/>
          <w:szCs w:val="26"/>
        </w:rPr>
        <w:t xml:space="preserve">2.1 The Target Market</w:t>
      </w:r>
    </w:p>
    <w:p>
      <w:pPr>
        <w:spacing w:before="80" w:after="80"/>
        <w:jc w:val="left"/>
      </w:pPr>
      <w:r>
        <w:rPr>
          <w:rFonts w:ascii="Arial" w:cs="Arial" w:eastAsia="Arial" w:hAnsi="Arial"/>
          <w:b w:val="false"/>
          <w:bCs w:val="false"/>
          <w:color w:val="111111"/>
          <w:sz w:val="20"/>
          <w:szCs w:val="20"/>
        </w:rPr>
        <w:t xml:space="preserve">The immediate addressable market is estate surveying and valuation firms registered with or operating under NIESV (Nigerian Institution of Estate Surveyors and Valuers) standards in Nigeria's primary commercial centres.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00"/>
        <w:gridCol w:w="1426"/>
      </w:tblGrid>
      <w:tr>
        <w:trPr>
          <w:tblHeader/>
        </w:trPr>
        <w:tc>
          <w:tcPr>
            <w:tcW w:type="dxa" w:w="2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Segment</w:t>
            </w:r>
          </w:p>
        </w:tc>
        <w:tc>
          <w:tcPr>
            <w:tcW w:type="dxa" w:w="32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c>
          <w:tcPr>
            <w:tcW w:type="dxa" w:w="16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Estimated Count</w:t>
            </w:r>
          </w:p>
        </w:tc>
        <w:tc>
          <w:tcPr>
            <w:tcW w:type="dxa" w:w="14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r>
      <w:tr>
        <w:tc>
          <w:tcPr>
            <w:tcW w:type="dxa" w:w="2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Solo valuers scaling into firms</w:t>
            </w:r>
          </w:p>
        </w:tc>
        <w:tc>
          <w:tcPr>
            <w:tcW w:type="dxa" w:w="3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Individual practitioners with 1–5 staff, growing client base, maximum workflow pain</w:t>
            </w:r>
          </w:p>
        </w:tc>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500+</w:t>
            </w:r>
          </w:p>
        </w:tc>
        <w:tc>
          <w:tcPr>
            <w:tcW w:type="dxa" w:w="14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1B5E20"/>
                <w:sz w:val="19"/>
                <w:szCs w:val="19"/>
              </w:rPr>
              <w:t xml:space="preserve">Tier 1</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Small valuation practices</w:t>
            </w:r>
          </w:p>
        </w:tc>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3–20 staff firms in Lagos, Abuja, Port Harcourt — full pipeline from instruction to invoice</w:t>
            </w:r>
          </w:p>
        </w:tc>
        <w:tc>
          <w:tcPr>
            <w:tcW w:type="dxa" w:w="1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300+</w:t>
            </w:r>
          </w:p>
        </w:tc>
        <w:tc>
          <w:tcPr>
            <w:tcW w:type="dxa" w:w="14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9"/>
                <w:szCs w:val="19"/>
              </w:rPr>
              <w:t xml:space="preserve">Tier 1</w:t>
            </w:r>
          </w:p>
        </w:tc>
      </w:tr>
      <w:tr>
        <w:tc>
          <w:tcPr>
            <w:tcW w:type="dxa" w:w="2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Mid-sized multi-branch firms</w:t>
            </w:r>
          </w:p>
        </w:tc>
        <w:tc>
          <w:tcPr>
            <w:tcW w:type="dxa" w:w="3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20–100 staff, multiple offices, branch oversight needs</w:t>
            </w:r>
          </w:p>
        </w:tc>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80+</w:t>
            </w:r>
          </w:p>
        </w:tc>
        <w:tc>
          <w:tcPr>
            <w:tcW w:type="dxa" w:w="14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0F2D4A"/>
                <w:sz w:val="19"/>
                <w:szCs w:val="19"/>
              </w:rPr>
              <w:t xml:space="preserve">Tier 2</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Internal valuation teams</w:t>
            </w:r>
          </w:p>
        </w:tc>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Property developers and lenders with in-house valuation capacity</w:t>
            </w:r>
          </w:p>
        </w:tc>
        <w:tc>
          <w:tcPr>
            <w:tcW w:type="dxa" w:w="1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50+</w:t>
            </w:r>
          </w:p>
        </w:tc>
        <w:tc>
          <w:tcPr>
            <w:tcW w:type="dxa" w:w="14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0F2D4A"/>
                <w:sz w:val="19"/>
                <w:szCs w:val="19"/>
              </w:rPr>
              <w:t xml:space="preserve">Tier 2</w:t>
            </w:r>
          </w:p>
        </w:tc>
      </w:tr>
      <w:tr>
        <w:tc>
          <w:tcPr>
            <w:tcW w:type="dxa" w:w="2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Large institutional firms</w:t>
            </w:r>
          </w:p>
        </w:tc>
        <w:tc>
          <w:tcPr>
            <w:tcW w:type="dxa" w:w="3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Major practices with 100+ staff and complex compliance requirements</w:t>
            </w:r>
          </w:p>
        </w:tc>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20+</w:t>
            </w:r>
          </w:p>
        </w:tc>
        <w:tc>
          <w:tcPr>
            <w:tcW w:type="dxa" w:w="14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52606E"/>
                <w:sz w:val="19"/>
                <w:szCs w:val="19"/>
              </w:rPr>
              <w:t xml:space="preserve">Tier 3</w:t>
            </w:r>
          </w:p>
        </w:tc>
      </w:tr>
    </w:tbl>
    <w:p>
      <w:pPr>
        <w:spacing w:before="120" w:after="0"/>
      </w:pPr>
    </w:p>
    <w:p>
      <w:pPr>
        <w:pStyle w:val="Heading2"/>
        <w:spacing w:before="320" w:after="120"/>
      </w:pPr>
      <w:r>
        <w:rPr>
          <w:rFonts w:ascii="Arial" w:cs="Arial" w:eastAsia="Arial" w:hAnsi="Arial"/>
          <w:b/>
          <w:bCs/>
          <w:color w:val="0F2D4A"/>
          <w:sz w:val="26"/>
          <w:szCs w:val="26"/>
        </w:rPr>
        <w:t xml:space="preserve">2.2 Revenue Model</w:t>
      </w:r>
    </w:p>
    <w:p>
      <w:pPr>
        <w:spacing w:before="80" w:after="80"/>
        <w:jc w:val="left"/>
      </w:pPr>
      <w:r>
        <w:rPr>
          <w:rFonts w:ascii="Arial" w:cs="Arial" w:eastAsia="Arial" w:hAnsi="Arial"/>
          <w:b w:val="false"/>
          <w:bCs w:val="false"/>
          <w:color w:val="111111"/>
          <w:sz w:val="20"/>
          <w:szCs w:val="20"/>
        </w:rPr>
        <w:t xml:space="preserve">Flat-rate monthly subscription per firm. Three tiers. No transaction fees. Pricing is set to reflect professional value, not compete on affordability.</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426"/>
      </w:tblGrid>
      <w:tr>
        <w:trPr>
          <w:tblHeader/>
        </w:trPr>
        <w:tc>
          <w:tcPr>
            <w:tcW w:type="dxa" w:w="16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Plan</w:t>
            </w:r>
          </w:p>
        </w:tc>
        <w:tc>
          <w:tcPr>
            <w:tcW w:type="dxa" w:w="2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Target Firm Size</w:t>
            </w:r>
          </w:p>
        </w:tc>
        <w:tc>
          <w:tcPr>
            <w:tcW w:type="dxa" w:w="26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Est. Monthly Price (NGN)</w:t>
            </w:r>
          </w:p>
        </w:tc>
        <w:tc>
          <w:tcPr>
            <w:tcW w:type="dxa" w:w="24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Key Features</w:t>
            </w:r>
          </w:p>
        </w:tc>
      </w:tr>
      <w:tr>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Starter</w:t>
            </w:r>
          </w:p>
        </w:tc>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Solo to 3-person firms</w:t>
            </w:r>
          </w:p>
        </w:tc>
        <w:tc>
          <w:tcPr>
            <w:tcW w:type="dxa" w:w="2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₦25,000 – ₦40,000</w:t>
            </w:r>
          </w:p>
        </w:tc>
        <w:tc>
          <w:tcPr>
            <w:tcW w:type="dxa" w:w="24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Cases, inspection, comparables, basic reports, invoicing</w:t>
            </w:r>
          </w:p>
        </w:tc>
      </w:tr>
      <w:tr>
        <w:tc>
          <w:tcPr>
            <w:tcW w:type="dxa" w:w="1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Professional</w:t>
            </w:r>
          </w:p>
        </w:tc>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4–20 person firms</w:t>
            </w:r>
          </w:p>
        </w:tc>
        <w:tc>
          <w:tcPr>
            <w:tcW w:type="dxa" w:w="2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₦75,000 – ₦120,000</w:t>
            </w:r>
          </w:p>
        </w:tc>
        <w:tc>
          <w:tcPr>
            <w:tcW w:type="dxa" w:w="24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All Starter + multi-user, shared library, approvals, dashboards</w:t>
            </w:r>
          </w:p>
        </w:tc>
      </w:tr>
      <w:tr>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Enterprise</w:t>
            </w:r>
          </w:p>
        </w:tc>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Multi-branch firms</w:t>
            </w:r>
          </w:p>
        </w:tc>
        <w:tc>
          <w:tcPr>
            <w:tcW w:type="dxa" w:w="2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₦180,000 – ₦300,000</w:t>
            </w:r>
          </w:p>
        </w:tc>
        <w:tc>
          <w:tcPr>
            <w:tcW w:type="dxa" w:w="24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All Pro + branches, audit, client portal, API, custom setup</w:t>
            </w:r>
          </w:p>
        </w:tc>
      </w:tr>
    </w:tbl>
    <w:p>
      <w:pPr>
        <w:spacing w:before="120" w:after="0"/>
      </w:pPr>
    </w:p>
    <w:p>
      <w:pPr>
        <w:pStyle w:val="Heading2"/>
        <w:spacing w:before="320" w:after="120"/>
      </w:pPr>
      <w:r>
        <w:rPr>
          <w:rFonts w:ascii="Arial" w:cs="Arial" w:eastAsia="Arial" w:hAnsi="Arial"/>
          <w:b/>
          <w:bCs/>
          <w:color w:val="0F2D4A"/>
          <w:sz w:val="26"/>
          <w:szCs w:val="26"/>
        </w:rPr>
        <w:t xml:space="preserve">2.3 Revenue Projections — Conservative Scenario</w:t>
      </w:r>
    </w:p>
    <w:p>
      <w:pPr>
        <w:spacing w:before="80" w:after="80"/>
        <w:jc w:val="left"/>
      </w:pPr>
      <w:r>
        <w:rPr>
          <w:rFonts w:ascii="Arial" w:cs="Arial" w:eastAsia="Arial" w:hAnsi="Arial"/>
          <w:b w:val="false"/>
          <w:bCs w:val="false"/>
          <w:color w:val="111111"/>
          <w:sz w:val="20"/>
          <w:szCs w:val="20"/>
        </w:rPr>
        <w:t xml:space="preserve">Based on 3-month pilot with 5 firms, converting to paid at month 4. Projections assume slow early growth accelerating through word-of-mouth in NIESV circles.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1600"/>
        <w:gridCol w:w="1226"/>
      </w:tblGrid>
      <w:tr>
        <w:trPr>
          <w:tblHeader/>
        </w:trPr>
        <w:tc>
          <w:tcPr>
            <w:tcW w:type="dxa" w:w="2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Period</w:t>
            </w:r>
          </w:p>
        </w:tc>
        <w:tc>
          <w:tcPr>
            <w:tcW w:type="dxa" w:w="16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Paying Firms</w:t>
            </w:r>
          </w:p>
        </w:tc>
        <w:tc>
          <w:tcPr>
            <w:tcW w:type="dxa" w:w="22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Avg. Monthly Revenue / Firm</w:t>
            </w:r>
          </w:p>
        </w:tc>
        <w:tc>
          <w:tcPr>
            <w:tcW w:type="dxa" w:w="16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Monthly MRR</w:t>
            </w:r>
          </w:p>
        </w:tc>
        <w:tc>
          <w:tcPr>
            <w:tcW w:type="dxa" w:w="12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Milestone</w:t>
            </w:r>
          </w:p>
        </w:tc>
      </w:tr>
      <w:tr>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Month 4–6 (Post-pilot)</w:t>
            </w:r>
          </w:p>
        </w:tc>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5</w:t>
            </w:r>
          </w:p>
        </w:tc>
        <w:tc>
          <w:tcPr>
            <w:tcW w:type="dxa" w:w="2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₦60,000</w:t>
            </w:r>
          </w:p>
        </w:tc>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₦300,000</w:t>
            </w:r>
          </w:p>
        </w:tc>
        <w:tc>
          <w:tcPr>
            <w:tcW w:type="dxa" w:w="1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Pilot-to-paid conversion</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Month 7–12</w:t>
            </w:r>
          </w:p>
        </w:tc>
        <w:tc>
          <w:tcPr>
            <w:tcW w:type="dxa" w:w="1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20</w:t>
            </w:r>
          </w:p>
        </w:tc>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₦75,000</w:t>
            </w:r>
          </w:p>
        </w:tc>
        <w:tc>
          <w:tcPr>
            <w:tcW w:type="dxa" w:w="1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₦1,500,000</w:t>
            </w:r>
          </w:p>
        </w:tc>
        <w:tc>
          <w:tcPr>
            <w:tcW w:type="dxa" w:w="1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Early traction</w:t>
            </w:r>
          </w:p>
        </w:tc>
      </w:tr>
      <w:tr>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Month 13–18</w:t>
            </w:r>
          </w:p>
        </w:tc>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50</w:t>
            </w:r>
          </w:p>
        </w:tc>
        <w:tc>
          <w:tcPr>
            <w:tcW w:type="dxa" w:w="2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₦85,000</w:t>
            </w:r>
          </w:p>
        </w:tc>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₦4,250,000</w:t>
            </w:r>
          </w:p>
        </w:tc>
        <w:tc>
          <w:tcPr>
            <w:tcW w:type="dxa" w:w="1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Category recognition</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Month 19–24</w:t>
            </w:r>
          </w:p>
        </w:tc>
        <w:tc>
          <w:tcPr>
            <w:tcW w:type="dxa" w:w="1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100</w:t>
            </w:r>
          </w:p>
        </w:tc>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₦90,000</w:t>
            </w:r>
          </w:p>
        </w:tc>
        <w:tc>
          <w:tcPr>
            <w:tcW w:type="dxa" w:w="1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₦9,000,000</w:t>
            </w:r>
          </w:p>
        </w:tc>
        <w:tc>
          <w:tcPr>
            <w:tcW w:type="dxa" w:w="1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Market leadership signal</w:t>
            </w:r>
          </w:p>
        </w:tc>
      </w:tr>
      <w:tr>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Year 3 (conservative)</w:t>
            </w:r>
          </w:p>
        </w:tc>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250</w:t>
            </w:r>
          </w:p>
        </w:tc>
        <w:tc>
          <w:tcPr>
            <w:tcW w:type="dxa" w:w="2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₦100,000</w:t>
            </w:r>
          </w:p>
        </w:tc>
        <w:tc>
          <w:tcPr>
            <w:tcW w:type="dxa" w:w="1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₦25,000,000</w:t>
            </w:r>
          </w:p>
        </w:tc>
        <w:tc>
          <w:tcPr>
            <w:tcW w:type="dxa" w:w="1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Sustainable SaaS business</w:t>
            </w:r>
          </w:p>
        </w:tc>
      </w:tr>
    </w:tbl>
    <w:p>
      <w:pPr>
        <w:spacing w:before="80" w:after="0"/>
      </w:pPr>
    </w:p>
    <w:p>
      <w:pPr>
        <w:shd w:fill="D6E8F5" w:val="clear"/>
        <w:spacing w:before="120" w:after="120"/>
      </w:pPr>
      <w:r>
        <w:rPr>
          <w:rFonts w:ascii="Arial" w:cs="Arial" w:eastAsia="Arial" w:hAnsi="Arial"/>
          <w:b/>
          <w:bCs/>
          <w:color w:val="0F2D4A"/>
          <w:sz w:val="18"/>
          <w:szCs w:val="18"/>
        </w:rPr>
        <w:t xml:space="preserve">  ℹ  At 100 paying firms — achievable within 18–24 months at modest growth — the business generates approximately ₦108M annually (~£55,000 GBP / ~$70,000 USD at current rates). At 250 firms, ₦300M annually. These are conservative figures based on below-market pricing assumptions.</w:t>
      </w:r>
    </w:p>
    <w:p>
      <w:pPr>
        <w:spacing w:before="120" w:after="0"/>
      </w:pPr>
    </w:p>
    <w:p>
      <w:pPr>
        <w:pStyle w:val="Heading2"/>
        <w:spacing w:before="320" w:after="120"/>
      </w:pPr>
      <w:r>
        <w:rPr>
          <w:rFonts w:ascii="Arial" w:cs="Arial" w:eastAsia="Arial" w:hAnsi="Arial"/>
          <w:b/>
          <w:bCs/>
          <w:color w:val="0F2D4A"/>
          <w:sz w:val="26"/>
          <w:szCs w:val="26"/>
        </w:rPr>
        <w:t xml:space="preserve">2.4 Competitive Landscape</w:t>
      </w:r>
    </w:p>
    <w:p>
      <w:pPr>
        <w:spacing w:before="80" w:after="80"/>
        <w:jc w:val="left"/>
      </w:pPr>
      <w:r>
        <w:rPr>
          <w:rFonts w:ascii="Arial" w:cs="Arial" w:eastAsia="Arial" w:hAnsi="Arial"/>
          <w:b w:val="false"/>
          <w:bCs w:val="false"/>
          <w:color w:val="111111"/>
          <w:sz w:val="20"/>
          <w:szCs w:val="20"/>
        </w:rPr>
        <w:t xml:space="preserve">No direct competitor occupies the valuation-specific practice management space in Nigeria. The closest alternatives are indirect and leave significant gaps.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426"/>
      </w:tblGrid>
      <w:tr>
        <w:trPr>
          <w:tblHeader/>
        </w:trPr>
        <w:tc>
          <w:tcPr>
            <w:tcW w:type="dxa" w:w="1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Competitor</w:t>
            </w:r>
          </w:p>
        </w:tc>
        <w:tc>
          <w:tcPr>
            <w:tcW w:type="dxa" w:w="1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20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Strength</w:t>
            </w:r>
          </w:p>
        </w:tc>
        <w:tc>
          <w:tcPr>
            <w:tcW w:type="dxa" w:w="34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Gap for Valuation Firms</w:t>
            </w:r>
          </w:p>
        </w:tc>
      </w:tr>
      <w:tr>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OurProperty NG</w:t>
            </w:r>
          </w:p>
        </w:tc>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Property management platform</w:t>
            </w:r>
          </w:p>
        </w:tc>
        <w:tc>
          <w:tcPr>
            <w:tcW w:type="dxa" w:w="2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Broader property operations, finance automation</w:t>
            </w:r>
          </w:p>
        </w:tc>
        <w:tc>
          <w:tcPr>
            <w:tcW w:type="dxa" w:w="34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Not valuation-workflow specific — lacks inspection, comparables, workbench, report engine</w:t>
            </w:r>
          </w:p>
        </w:tc>
      </w:tr>
      <w:tr>
        <w:tc>
          <w:tcPr>
            <w:tcW w:type="dxa" w:w="1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ValuersDesk</w:t>
            </w:r>
          </w:p>
        </w:tc>
        <w:tc>
          <w:tcPr>
            <w:tcW w:type="dxa" w:w="1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AI valuation tool</w:t>
            </w:r>
          </w:p>
        </w:tc>
        <w:tc>
          <w:tcPr>
            <w:tcW w:type="dxa" w:w="2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NIESV-positioned, AI report assistance</w:t>
            </w:r>
          </w:p>
        </w:tc>
        <w:tc>
          <w:tcPr>
            <w:tcW w:type="dxa" w:w="34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Report-focused only — no full practice management, billing, or comparable library</w:t>
            </w:r>
          </w:p>
        </w:tc>
      </w:tr>
      <w:tr>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UK tools (Surventrix, Sprift)</w:t>
            </w:r>
          </w:p>
        </w:tc>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Surveyor workflow</w:t>
            </w:r>
          </w:p>
        </w:tc>
        <w:tc>
          <w:tcPr>
            <w:tcW w:type="dxa" w:w="2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Mature workflow, comparables, report output</w:t>
            </w:r>
          </w:p>
        </w:tc>
        <w:tc>
          <w:tcPr>
            <w:tcW w:type="dxa" w:w="34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Built for UK practice and data infrastructure — not applicable to Nigerian market</w:t>
            </w:r>
          </w:p>
        </w:tc>
      </w:tr>
      <w:tr>
        <w:tc>
          <w:tcPr>
            <w:tcW w:type="dxa" w:w="1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Generic ERP</w:t>
            </w:r>
          </w:p>
        </w:tc>
        <w:tc>
          <w:tcPr>
            <w:tcW w:type="dxa" w:w="1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Enterprise software</w:t>
            </w:r>
          </w:p>
        </w:tc>
        <w:tc>
          <w:tcPr>
            <w:tcW w:type="dxa" w:w="2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Broad feature set</w:t>
            </w:r>
          </w:p>
        </w:tc>
        <w:tc>
          <w:tcPr>
            <w:tcW w:type="dxa" w:w="34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Not built for valuation workflows — complex, expensive, no Nigeria-first design</w:t>
            </w:r>
          </w:p>
        </w:tc>
      </w:tr>
      <w:tr>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Spreadsheets + Word</w:t>
            </w:r>
          </w:p>
        </w:tc>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Status quo</w:t>
            </w:r>
          </w:p>
        </w:tc>
        <w:tc>
          <w:tcPr>
            <w:tcW w:type="dxa" w:w="2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Zero cost, familiar</w:t>
            </w:r>
          </w:p>
        </w:tc>
        <w:tc>
          <w:tcPr>
            <w:tcW w:type="dxa" w:w="34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No workflow enforcement, no comparable library, no audit trail, no oversight</w:t>
            </w:r>
          </w:p>
        </w:tc>
      </w:tr>
    </w:tbl>
    <w:p>
      <w:pPr>
        <w:spacing w:before="80" w:after="0"/>
      </w:pPr>
    </w:p>
    <w:p>
      <w:pPr>
        <w:spacing w:before="80" w:after="80"/>
        <w:jc w:val="left"/>
      </w:pPr>
      <w:r>
        <w:rPr>
          <w:rFonts w:ascii="Arial" w:cs="Arial" w:eastAsia="Arial" w:hAnsi="Arial"/>
          <w:b w:val="false"/>
          <w:bCs w:val="false"/>
          <w:color w:val="111111"/>
          <w:sz w:val="20"/>
          <w:szCs w:val="20"/>
        </w:rPr>
        <w:t xml:space="preserve">The strategic position is clear: build the first serious valuation practice management platform for Nigerian firms, borrowing workflow discipline from UK tools, data intelligence from Dubai's property infrastructure model, and business operations depth from US appraisal platforms — but with Nigeria-first usability and pricing.</w:t>
      </w:r>
    </w:p>
    <w:p>
      <w:r>
        <w:br w:type="page"/>
      </w:r>
    </w:p>
    <w:p>
      <w:pPr>
        <w:pStyle w:val="Heading1"/>
        <w:spacing w:before="480" w:after="160"/>
      </w:pPr>
      <w:r>
        <w:rPr>
          <w:rFonts w:ascii="Arial" w:cs="Arial" w:eastAsia="Arial" w:hAnsi="Arial"/>
          <w:b/>
          <w:bCs/>
          <w:color w:val="0F2D4A"/>
          <w:sz w:val="34"/>
          <w:szCs w:val="34"/>
        </w:rPr>
        <w:t xml:space="preserve">3. Product and Technical Feasibility</w:t>
      </w:r>
    </w:p>
    <w:p>
      <w:pPr>
        <w:pStyle w:val="Heading2"/>
        <w:spacing w:before="320" w:after="120"/>
      </w:pPr>
      <w:r>
        <w:rPr>
          <w:rFonts w:ascii="Arial" w:cs="Arial" w:eastAsia="Arial" w:hAnsi="Arial"/>
          <w:b/>
          <w:bCs/>
          <w:color w:val="0F2D4A"/>
          <w:sz w:val="26"/>
          <w:szCs w:val="26"/>
        </w:rPr>
        <w:t xml:space="preserve">3.1 Architecture Summary</w:t>
      </w:r>
    </w:p>
    <w:p>
      <w:pPr>
        <w:spacing w:before="80" w:after="80"/>
        <w:jc w:val="left"/>
      </w:pPr>
      <w:r>
        <w:rPr>
          <w:rFonts w:ascii="Arial" w:cs="Arial" w:eastAsia="Arial" w:hAnsi="Arial"/>
          <w:b w:val="false"/>
          <w:bCs w:val="false"/>
          <w:color w:val="111111"/>
          <w:sz w:val="20"/>
          <w:szCs w:val="20"/>
        </w:rPr>
        <w:t xml:space="preserve">Valuation OS is a multi-tenant SaaS product with a shared Next.js codebase serving both the web platform and (via Expo React Native) the mobile app. A Turborepo monorepo keeps shared logic — API hooks, TypeScript types, validation schemas — in shared packages consumed by both apps, avoiding duplication and keeping the codebase maintainable by a small team.</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Layer</w:t>
            </w:r>
          </w:p>
        </w:tc>
        <w:tc>
          <w:tcPr>
            <w:tcW w:type="dxa" w:w="30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Technology</w:t>
            </w:r>
          </w:p>
        </w:tc>
        <w:tc>
          <w:tcPr>
            <w:tcW w:type="dxa" w:w="40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Rationale</w:t>
            </w:r>
          </w:p>
        </w:tc>
      </w:tr>
      <w:tr>
        <w:tc>
          <w:tcPr>
            <w:tcW w:type="dxa" w:w="2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Web framework</w:t>
            </w:r>
          </w:p>
        </w:tc>
        <w:tc>
          <w:tcPr>
            <w:tcW w:type="dxa" w:w="3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Next.js 16 App Router + TypeScript</w:t>
            </w:r>
          </w:p>
        </w:tc>
        <w:tc>
          <w:tcPr>
            <w:tcW w:type="dxa" w:w="40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Single language across frontend and API. Server components for performance, Route Handlers for backend logic.</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Mobile app</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Expo React Native + Expo Router</w:t>
            </w:r>
          </w:p>
        </w:tc>
        <w:tc>
          <w:tcPr>
            <w:tcW w:type="dxa" w:w="40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Native camera, push notifications, offline storage. Mirrors Next.js routing — one mental model across both platforms.</w:t>
            </w:r>
          </w:p>
        </w:tc>
      </w:tr>
      <w:tr>
        <w:tc>
          <w:tcPr>
            <w:tcW w:type="dxa" w:w="2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Shared logic</w:t>
            </w:r>
          </w:p>
        </w:tc>
        <w:tc>
          <w:tcPr>
            <w:tcW w:type="dxa" w:w="3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Turborepo monorepo — packages/types, packages/api, packages/utils</w:t>
            </w:r>
          </w:p>
        </w:tc>
        <w:tc>
          <w:tcPr>
            <w:tcW w:type="dxa" w:w="40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Types, API hooks, and validation defined once, used by web and mobile.</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ORM + Database</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Prisma + PostgreSQL 16</w:t>
            </w:r>
          </w:p>
        </w:tc>
        <w:tc>
          <w:tcPr>
            <w:tcW w:type="dxa" w:w="40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Type-safe queries generated from schema. Single source of truth. Full-text search via tsvector.</w:t>
            </w:r>
          </w:p>
        </w:tc>
      </w:tr>
      <w:tr>
        <w:tc>
          <w:tcPr>
            <w:tcW w:type="dxa" w:w="2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UI foundation</w:t>
            </w:r>
          </w:p>
        </w:tc>
        <w:tc>
          <w:tcPr>
            <w:tcW w:type="dxa" w:w="3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TailAdmin Free (MIT) + shadcn/ui</w:t>
            </w:r>
          </w:p>
        </w:tc>
        <w:tc>
          <w:tcPr>
            <w:tcW w:type="dxa" w:w="40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Complete admin template — task lists, invoices, user management, file manager all pre-built. Saves ~1 sprint of UI groundwork.</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Background jobs</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Trigger.dev</w:t>
            </w:r>
          </w:p>
        </w:tc>
        <w:tc>
          <w:tcPr>
            <w:tcW w:type="dxa" w:w="40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PDF generation, CSV import, audit writes, email notifications — none blocking the API request cycle.</w:t>
            </w:r>
          </w:p>
        </w:tc>
      </w:tr>
      <w:tr>
        <w:tc>
          <w:tcPr>
            <w:tcW w:type="dxa" w:w="2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PDF generation</w:t>
            </w:r>
          </w:p>
        </w:tc>
        <w:tc>
          <w:tcPr>
            <w:tcW w:type="dxa" w:w="3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Puppeteer (headless Chrome)</w:t>
            </w:r>
          </w:p>
        </w:tc>
        <w:tc>
          <w:tcPr>
            <w:tcW w:type="dxa" w:w="40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Full CSS control for professional report formatting. Runs asynchronously.</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File storage</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AWS S3 / Cloudflare R2</w:t>
            </w:r>
          </w:p>
        </w:tc>
        <w:tc>
          <w:tcPr>
            <w:tcW w:type="dxa" w:w="40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Presigned URLs for direct upload/download. API tier never proxies file content.</w:t>
            </w:r>
          </w:p>
        </w:tc>
      </w:tr>
      <w:tr>
        <w:tc>
          <w:tcPr>
            <w:tcW w:type="dxa" w:w="2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Caching</w:t>
            </w:r>
          </w:p>
        </w:tc>
        <w:tc>
          <w:tcPr>
            <w:tcW w:type="dxa" w:w="3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Redis via Upstash</w:t>
            </w:r>
          </w:p>
        </w:tc>
        <w:tc>
          <w:tcPr>
            <w:tcW w:type="dxa" w:w="40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Dashboard aggregate caching (60s TTL), rate limiting, session store.</w:t>
            </w:r>
          </w:p>
        </w:tc>
      </w:tr>
      <w:tr>
        <w:tc>
          <w:tcPr>
            <w:tcW w:type="dxa" w:w="2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Auth</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Jose JWT + NextAuth.js v5</w:t>
            </w:r>
          </w:p>
        </w:tc>
        <w:tc>
          <w:tcPr>
            <w:tcW w:type="dxa" w:w="40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httpOnly cookies, 15-min access tokens, 7-day refresh tokens.</w:t>
            </w:r>
          </w:p>
        </w:tc>
      </w:tr>
    </w:tbl>
    <w:p>
      <w:pPr>
        <w:spacing w:before="120" w:after="0"/>
      </w:pPr>
    </w:p>
    <w:p>
      <w:pPr>
        <w:pStyle w:val="Heading2"/>
        <w:spacing w:before="320" w:after="120"/>
      </w:pPr>
      <w:r>
        <w:rPr>
          <w:rFonts w:ascii="Arial" w:cs="Arial" w:eastAsia="Arial" w:hAnsi="Arial"/>
          <w:b/>
          <w:bCs/>
          <w:color w:val="0F2D4A"/>
          <w:sz w:val="26"/>
          <w:szCs w:val="26"/>
        </w:rPr>
        <w:t xml:space="preserve">3.2 Multi-Tenancy and Data Security</w:t>
      </w:r>
    </w:p>
    <w:p>
      <w:pPr>
        <w:spacing w:before="80" w:after="80"/>
        <w:jc w:val="left"/>
      </w:pPr>
      <w:r>
        <w:rPr>
          <w:rFonts w:ascii="Arial" w:cs="Arial" w:eastAsia="Arial" w:hAnsi="Arial"/>
          <w:b w:val="false"/>
          <w:bCs w:val="false"/>
          <w:color w:val="111111"/>
          <w:sz w:val="20"/>
          <w:szCs w:val="20"/>
        </w:rPr>
        <w:t xml:space="preserve">Every firm is a tenant. All data queries are scoped to firm_id at the application layer via a tenantPrisma wrapper that enforces firm-level filtering on every database query. A user from Firm A cannot access any data from Firm B under any code path. This is enforced architecturally, not through developer discipline alone.</w:t>
      </w:r>
    </w:p>
    <w:p>
      <w:pPr>
        <w:spacing w:before="80" w:after="0"/>
      </w:pPr>
    </w:p>
    <w:p>
      <w:pPr>
        <w:spacing w:before="80" w:after="80"/>
        <w:jc w:val="left"/>
      </w:pPr>
      <w:r>
        <w:rPr>
          <w:rFonts w:ascii="Arial" w:cs="Arial" w:eastAsia="Arial" w:hAnsi="Arial"/>
          <w:b w:val="false"/>
          <w:bCs w:val="false"/>
          <w:color w:val="111111"/>
          <w:sz w:val="20"/>
          <w:szCs w:val="20"/>
        </w:rPr>
        <w:t xml:space="preserve">Key security properties:</w:t>
      </w:r>
    </w:p>
    <w:p>
      <w:pPr>
        <w:pStyle w:val="ListParagraph"/>
        <w:numPr>
          <w:ilvl w:val="0"/>
          <w:numId w:val="2"/>
        </w:numPr>
        <w:spacing w:before="60" w:after="60"/>
      </w:pPr>
      <w:r>
        <w:rPr>
          <w:rFonts w:ascii="Arial" w:cs="Arial" w:eastAsia="Arial" w:hAnsi="Arial"/>
          <w:color w:val="111111"/>
          <w:sz w:val="20"/>
          <w:szCs w:val="20"/>
        </w:rPr>
        <w:t xml:space="preserve">JWT tokens stored as httpOnly, SameSite=Strict cookies — not accessible to JavaScript</w:t>
      </w:r>
    </w:p>
    <w:p>
      <w:pPr>
        <w:pStyle w:val="ListParagraph"/>
        <w:numPr>
          <w:ilvl w:val="0"/>
          <w:numId w:val="2"/>
        </w:numPr>
        <w:spacing w:before="60" w:after="60"/>
      </w:pPr>
      <w:r>
        <w:rPr>
          <w:rFonts w:ascii="Arial" w:cs="Arial" w:eastAsia="Arial" w:hAnsi="Arial"/>
          <w:color w:val="111111"/>
          <w:sz w:val="20"/>
          <w:szCs w:val="20"/>
        </w:rPr>
        <w:t xml:space="preserve">All file access via presigned S3 URLs with 15-minute expiry — no public bucket access</w:t>
      </w:r>
    </w:p>
    <w:p>
      <w:pPr>
        <w:pStyle w:val="ListParagraph"/>
        <w:numPr>
          <w:ilvl w:val="0"/>
          <w:numId w:val="2"/>
        </w:numPr>
        <w:spacing w:before="60" w:after="60"/>
      </w:pPr>
      <w:r>
        <w:rPr>
          <w:rFonts w:ascii="Arial" w:cs="Arial" w:eastAsia="Arial" w:hAnsi="Arial"/>
          <w:color w:val="111111"/>
          <w:sz w:val="20"/>
          <w:szCs w:val="20"/>
        </w:rPr>
        <w:t xml:space="preserve">Role-based access control enforced at both API route and UI level</w:t>
      </w:r>
    </w:p>
    <w:p>
      <w:pPr>
        <w:pStyle w:val="ListParagraph"/>
        <w:numPr>
          <w:ilvl w:val="0"/>
          <w:numId w:val="2"/>
        </w:numPr>
        <w:spacing w:before="60" w:after="60"/>
      </w:pPr>
      <w:r>
        <w:rPr>
          <w:rFonts w:ascii="Arial" w:cs="Arial" w:eastAsia="Arial" w:hAnsi="Arial"/>
          <w:color w:val="111111"/>
          <w:sz w:val="20"/>
          <w:szCs w:val="20"/>
        </w:rPr>
        <w:t xml:space="preserve">Immutable audit log — all major actions recorded with user, timestamp, entity, and value change</w:t>
      </w:r>
    </w:p>
    <w:p>
      <w:pPr>
        <w:pStyle w:val="ListParagraph"/>
        <w:numPr>
          <w:ilvl w:val="0"/>
          <w:numId w:val="2"/>
        </w:numPr>
        <w:spacing w:before="60" w:after="60"/>
      </w:pPr>
      <w:r>
        <w:rPr>
          <w:rFonts w:ascii="Arial" w:cs="Arial" w:eastAsia="Arial" w:hAnsi="Arial"/>
          <w:color w:val="111111"/>
          <w:sz w:val="20"/>
          <w:szCs w:val="20"/>
        </w:rPr>
        <w:t xml:space="preserve">Soft deletes throughout — data preserved for referential integrity and audit</w:t>
      </w:r>
    </w:p>
    <w:p>
      <w:pPr>
        <w:spacing w:before="120" w:after="0"/>
      </w:pPr>
    </w:p>
    <w:p>
      <w:pPr>
        <w:pStyle w:val="Heading2"/>
        <w:spacing w:before="320" w:after="120"/>
      </w:pPr>
      <w:r>
        <w:rPr>
          <w:rFonts w:ascii="Arial" w:cs="Arial" w:eastAsia="Arial" w:hAnsi="Arial"/>
          <w:b/>
          <w:bCs/>
          <w:color w:val="0F2D4A"/>
          <w:sz w:val="26"/>
          <w:szCs w:val="26"/>
        </w:rPr>
        <w:t xml:space="preserve">3.3 Mobile Strategy</w:t>
      </w:r>
    </w:p>
    <w:p>
      <w:pPr>
        <w:spacing w:before="80" w:after="80"/>
        <w:jc w:val="left"/>
      </w:pPr>
      <w:r>
        <w:rPr>
          <w:rFonts w:ascii="Arial" w:cs="Arial" w:eastAsia="Arial" w:hAnsi="Arial"/>
          <w:b w:val="false"/>
          <w:bCs w:val="false"/>
          <w:color w:val="111111"/>
          <w:sz w:val="20"/>
          <w:szCs w:val="20"/>
        </w:rPr>
        <w:t xml:space="preserve">The mobile app is not a separate product — it is the same product rendered natively. Shared TypeScript packages mean API hooks, types, and validation schemas are written once and consumed by both web and mobile apps. The engineering overhead of supporting both platforms is approximately 35–40% above web-only — not double.</w:t>
      </w:r>
    </w:p>
    <w:p>
      <w:pPr>
        <w:spacing w:before="80" w:after="0"/>
      </w:pPr>
    </w:p>
    <w:p>
      <w:pPr>
        <w:spacing w:before="80" w:after="80"/>
        <w:jc w:val="left"/>
      </w:pPr>
      <w:r>
        <w:rPr>
          <w:rFonts w:ascii="Arial" w:cs="Arial" w:eastAsia="Arial" w:hAnsi="Arial"/>
          <w:b w:val="false"/>
          <w:bCs w:val="false"/>
          <w:color w:val="111111"/>
          <w:sz w:val="20"/>
          <w:szCs w:val="20"/>
        </w:rPr>
        <w:t xml:space="preserve">Mobile is the primary device for two critical workflows:</w:t>
      </w:r>
    </w:p>
    <w:p>
      <w:pPr>
        <w:pStyle w:val="ListParagraph"/>
        <w:numPr>
          <w:ilvl w:val="0"/>
          <w:numId w:val="2"/>
        </w:numPr>
        <w:spacing w:before="60" w:after="60"/>
      </w:pPr>
      <w:r>
        <w:rPr>
          <w:rFonts w:ascii="Arial" w:cs="Arial" w:eastAsia="Arial" w:hAnsi="Arial"/>
          <w:color w:val="111111"/>
          <w:sz w:val="20"/>
          <w:szCs w:val="20"/>
        </w:rPr>
        <w:t xml:space="preserve">Field inspections — native camera with per-section photo capture, offline save with sync on reconnect, section-by-section progressive save. Loss of inspection data in the field is the highest early-adoption risk and is designed against explicitly.</w:t>
      </w:r>
    </w:p>
    <w:p>
      <w:pPr>
        <w:pStyle w:val="ListParagraph"/>
        <w:numPr>
          <w:ilvl w:val="0"/>
          <w:numId w:val="2"/>
        </w:numPr>
        <w:spacing w:before="60" w:after="60"/>
      </w:pPr>
      <w:r>
        <w:rPr>
          <w:rFonts w:ascii="Arial" w:cs="Arial" w:eastAsia="Arial" w:hAnsi="Arial"/>
          <w:color w:val="111111"/>
          <w:sz w:val="20"/>
          <w:szCs w:val="20"/>
        </w:rPr>
        <w:t xml:space="preserve">Managing partner oversight — push notifications for overdue cases, pending reviews, and invoice alerts reach the partner on their phone even when the app is not open.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626"/>
      </w:tblGrid>
      <w:tr>
        <w:trPr>
          <w:tblHeader/>
        </w:trPr>
        <w:tc>
          <w:tcPr>
            <w:tcW w:type="dxa" w:w="22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Feature</w:t>
            </w:r>
          </w:p>
        </w:tc>
        <w:tc>
          <w:tcPr>
            <w:tcW w:type="dxa" w:w="1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Web</w:t>
            </w:r>
          </w:p>
        </w:tc>
        <w:tc>
          <w:tcPr>
            <w:tcW w:type="dxa" w:w="1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Mobile</w:t>
            </w:r>
          </w:p>
        </w:tc>
        <w:tc>
          <w:tcPr>
            <w:tcW w:type="dxa" w:w="36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2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Dashboard</w:t>
            </w:r>
          </w:p>
        </w:tc>
        <w:tc>
          <w:tcPr>
            <w:tcW w:type="dxa" w:w="1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Full</w:t>
            </w:r>
          </w:p>
        </w:tc>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Summary view</w:t>
            </w:r>
          </w:p>
        </w:tc>
        <w:tc>
          <w:tcPr>
            <w:tcW w:type="dxa" w:w="3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Mobile shows key metrics — full analytics stays web</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Case list + detail</w:t>
            </w:r>
          </w:p>
        </w:tc>
        <w:tc>
          <w:tcPr>
            <w:tcW w:type="dxa" w:w="1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Full</w:t>
            </w:r>
          </w:p>
        </w:tc>
        <w:tc>
          <w:tcPr>
            <w:tcW w:type="dxa" w:w="1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Full</w:t>
            </w:r>
          </w:p>
        </w:tc>
        <w:tc>
          <w:tcPr>
            <w:tcW w:type="dxa" w:w="3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Core for all roles on both platforms</w:t>
            </w:r>
          </w:p>
        </w:tc>
      </w:tr>
      <w:tr>
        <w:tc>
          <w:tcPr>
            <w:tcW w:type="dxa" w:w="2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Inspection form</w:t>
            </w:r>
          </w:p>
        </w:tc>
        <w:tc>
          <w:tcPr>
            <w:tcW w:type="dxa" w:w="1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Responsive</w:t>
            </w:r>
          </w:p>
        </w:tc>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Native — primary</w:t>
            </w:r>
          </w:p>
        </w:tc>
        <w:tc>
          <w:tcPr>
            <w:tcW w:type="dxa" w:w="3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Mobile is the intended device for field capture</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Photo capture</w:t>
            </w:r>
          </w:p>
        </w:tc>
        <w:tc>
          <w:tcPr>
            <w:tcW w:type="dxa" w:w="1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File upload</w:t>
            </w:r>
          </w:p>
        </w:tc>
        <w:tc>
          <w:tcPr>
            <w:tcW w:type="dxa" w:w="1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Native camera</w:t>
            </w:r>
          </w:p>
        </w:tc>
        <w:tc>
          <w:tcPr>
            <w:tcW w:type="dxa" w:w="3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Significant UX advantage on mobile</w:t>
            </w:r>
          </w:p>
        </w:tc>
      </w:tr>
      <w:tr>
        <w:tc>
          <w:tcPr>
            <w:tcW w:type="dxa" w:w="2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Comparables</w:t>
            </w:r>
          </w:p>
        </w:tc>
        <w:tc>
          <w:tcPr>
            <w:tcW w:type="dxa" w:w="1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Full</w:t>
            </w:r>
          </w:p>
        </w:tc>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View + add</w:t>
            </w:r>
          </w:p>
        </w:tc>
        <w:tc>
          <w:tcPr>
            <w:tcW w:type="dxa" w:w="3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Heavy search and analysis stays web</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Analysis workbench</w:t>
            </w:r>
          </w:p>
        </w:tc>
        <w:tc>
          <w:tcPr>
            <w:tcW w:type="dxa" w:w="1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Full</w:t>
            </w:r>
          </w:p>
        </w:tc>
        <w:tc>
          <w:tcPr>
            <w:tcW w:type="dxa" w:w="1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View only</w:t>
            </w:r>
          </w:p>
        </w:tc>
        <w:tc>
          <w:tcPr>
            <w:tcW w:type="dxa" w:w="3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Complex side-by-side grid needs desktop</w:t>
            </w:r>
          </w:p>
        </w:tc>
      </w:tr>
      <w:tr>
        <w:tc>
          <w:tcPr>
            <w:tcW w:type="dxa" w:w="2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Report review</w:t>
            </w:r>
          </w:p>
        </w:tc>
        <w:tc>
          <w:tcPr>
            <w:tcW w:type="dxa" w:w="1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Full</w:t>
            </w:r>
          </w:p>
        </w:tc>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Approve / reject</w:t>
            </w:r>
          </w:p>
        </w:tc>
        <w:tc>
          <w:tcPr>
            <w:tcW w:type="dxa" w:w="3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Simplified reviewer action on mobile</w:t>
            </w:r>
          </w:p>
        </w:tc>
      </w:tr>
      <w:tr>
        <w:tc>
          <w:tcPr>
            <w:tcW w:type="dxa" w:w="2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Push notifications</w:t>
            </w:r>
          </w:p>
        </w:tc>
        <w:tc>
          <w:tcPr>
            <w:tcW w:type="dxa" w:w="1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Web push</w:t>
            </w:r>
          </w:p>
        </w:tc>
        <w:tc>
          <w:tcPr>
            <w:tcW w:type="dxa" w:w="1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Native APNs/FCM</w:t>
            </w:r>
          </w:p>
        </w:tc>
        <w:tc>
          <w:tcPr>
            <w:tcW w:type="dxa" w:w="3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Mobile is primary notification channel</w:t>
            </w:r>
          </w:p>
        </w:tc>
      </w:tr>
      <w:tr>
        <w:tc>
          <w:tcPr>
            <w:tcW w:type="dxa" w:w="2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Invoice management</w:t>
            </w:r>
          </w:p>
        </w:tc>
        <w:tc>
          <w:tcPr>
            <w:tcW w:type="dxa" w:w="1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Full</w:t>
            </w:r>
          </w:p>
        </w:tc>
        <w:tc>
          <w:tcPr>
            <w:tcW w:type="dxa" w:w="1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View + status</w:t>
            </w:r>
          </w:p>
        </w:tc>
        <w:tc>
          <w:tcPr>
            <w:tcW w:type="dxa" w:w="3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Creation stays web</w:t>
            </w:r>
          </w:p>
        </w:tc>
      </w:tr>
    </w:tbl>
    <w:p>
      <w:pPr>
        <w:spacing w:before="120" w:after="0"/>
      </w:pPr>
    </w:p>
    <w:p>
      <w:pPr>
        <w:pStyle w:val="Heading2"/>
        <w:spacing w:before="320" w:after="120"/>
      </w:pPr>
      <w:r>
        <w:rPr>
          <w:rFonts w:ascii="Arial" w:cs="Arial" w:eastAsia="Arial" w:hAnsi="Arial"/>
          <w:b/>
          <w:bCs/>
          <w:color w:val="0F2D4A"/>
          <w:sz w:val="26"/>
          <w:szCs w:val="26"/>
        </w:rPr>
        <w:t xml:space="preserve">3.4 The Comparable Data Moat</w:t>
      </w:r>
    </w:p>
    <w:p>
      <w:pPr>
        <w:spacing w:before="80" w:after="80"/>
        <w:jc w:val="left"/>
      </w:pPr>
      <w:r>
        <w:rPr>
          <w:rFonts w:ascii="Arial" w:cs="Arial" w:eastAsia="Arial" w:hAnsi="Arial"/>
          <w:b w:val="false"/>
          <w:bCs w:val="false"/>
          <w:color w:val="111111"/>
          <w:sz w:val="20"/>
          <w:szCs w:val="20"/>
        </w:rPr>
        <w:t xml:space="preserve">The strongest long-term defensibility of Valuation OS is not the workflow software — it is the comparable data layer. Every case completed in the system enriches the firm's comparable library. Every comparable becomes reusable evidence on future jobs. Over time, firms accumulate institutional market intelligence that cannot be replicated by a competitor arriving later.</w:t>
      </w:r>
    </w:p>
    <w:p>
      <w:pPr>
        <w:spacing w:before="80" w:after="0"/>
      </w:pPr>
    </w:p>
    <w:p>
      <w:pPr>
        <w:spacing w:before="80" w:after="80"/>
        <w:jc w:val="left"/>
      </w:pPr>
      <w:r>
        <w:rPr>
          <w:rFonts w:ascii="Arial" w:cs="Arial" w:eastAsia="Arial" w:hAnsi="Arial"/>
          <w:b w:val="false"/>
          <w:bCs w:val="false"/>
          <w:color w:val="111111"/>
          <w:sz w:val="20"/>
          <w:szCs w:val="20"/>
        </w:rPr>
        <w:t xml:space="preserve">This mirrors the strategic position that made Dubai's Property Monitor and DLD data infrastructure so powerful — whoever owns trusted, structured property data and exposes it through usable systems becomes infrastructure. For Nigerian valuation firms, Valuation OS is positioned to become that infrastructure layer.</w:t>
      </w:r>
    </w:p>
    <w:p>
      <w:pPr>
        <w:spacing w:before="80" w:after="0"/>
      </w:pPr>
    </w:p>
    <w:p>
      <w:pPr>
        <w:spacing w:before="80" w:after="80"/>
        <w:jc w:val="left"/>
      </w:pPr>
      <w:r>
        <w:rPr>
          <w:rFonts w:ascii="Arial" w:cs="Arial" w:eastAsia="Arial" w:hAnsi="Arial"/>
          <w:b w:val="false"/>
          <w:bCs w:val="false"/>
          <w:color w:val="111111"/>
          <w:sz w:val="20"/>
          <w:szCs w:val="20"/>
        </w:rPr>
        <w:t xml:space="preserve">In later phases, anonymised and aggregated comparable data across the network becomes a premium market intelligence product in its own right — benchmark dashboards, trend reports, and AVM inputs — creating a second revenue stream that requires no additional operational cost.</w:t>
      </w:r>
    </w:p>
    <w:p>
      <w:r>
        <w:br w:type="page"/>
      </w:r>
    </w:p>
    <w:p>
      <w:pPr>
        <w:pStyle w:val="Heading1"/>
        <w:spacing w:before="480" w:after="160"/>
      </w:pPr>
      <w:r>
        <w:rPr>
          <w:rFonts w:ascii="Arial" w:cs="Arial" w:eastAsia="Arial" w:hAnsi="Arial"/>
          <w:b/>
          <w:bCs/>
          <w:color w:val="0F2D4A"/>
          <w:sz w:val="34"/>
          <w:szCs w:val="34"/>
        </w:rPr>
        <w:t xml:space="preserve">4. Build Plan and Timeline</w:t>
      </w:r>
    </w:p>
    <w:p>
      <w:pPr>
        <w:pStyle w:val="Heading2"/>
        <w:spacing w:before="320" w:after="120"/>
      </w:pPr>
      <w:r>
        <w:rPr>
          <w:rFonts w:ascii="Arial" w:cs="Arial" w:eastAsia="Arial" w:hAnsi="Arial"/>
          <w:b/>
          <w:bCs/>
          <w:color w:val="0F2D4A"/>
          <w:sz w:val="26"/>
          <w:szCs w:val="26"/>
        </w:rPr>
        <w:t xml:space="preserve">4.1 Approach</w:t>
      </w:r>
    </w:p>
    <w:p>
      <w:pPr>
        <w:spacing w:before="80" w:after="80"/>
        <w:jc w:val="left"/>
      </w:pPr>
      <w:r>
        <w:rPr>
          <w:rFonts w:ascii="Arial" w:cs="Arial" w:eastAsia="Arial" w:hAnsi="Arial"/>
          <w:b w:val="false"/>
          <w:bCs w:val="false"/>
          <w:color w:val="111111"/>
          <w:sz w:val="20"/>
          <w:szCs w:val="20"/>
        </w:rPr>
        <w:t xml:space="preserve">The MVP is delivered in 10 two-week sprints (approximately 5 months of active development with a small team of 2–3 engineers). Three sprints are designated as pilot gates — the product cannot move to pilot without meeting their exit criteria.</w:t>
      </w:r>
    </w:p>
    <w:p>
      <w:pPr>
        <w:spacing w:before="80" w:after="0"/>
      </w:pPr>
    </w:p>
    <w:p>
      <w:pPr>
        <w:spacing w:before="80" w:after="80"/>
        <w:jc w:val="left"/>
      </w:pPr>
      <w:r>
        <w:rPr>
          <w:rFonts w:ascii="Arial" w:cs="Arial" w:eastAsia="Arial" w:hAnsi="Arial"/>
          <w:b w:val="false"/>
          <w:bCs w:val="false"/>
          <w:color w:val="111111"/>
          <w:sz w:val="20"/>
          <w:szCs w:val="20"/>
        </w:rPr>
        <w:t xml:space="preserve">The TailAdmin free UI template (MIT licensed) provides the administrative shell — sidebar, navigation, data tables, invoice screens, user management, and form components — saving approximately one sprint of UI groundwork. All custom screens (case stage pipeline, inspection form, analysis workbench, report preview) are built as original components on the TailAdmin design system.</w:t>
      </w:r>
    </w:p>
    <w:p>
      <w:pPr>
        <w:spacing w:before="120" w:after="0"/>
      </w:pPr>
    </w:p>
    <w:p>
      <w:pPr>
        <w:pStyle w:val="Heading2"/>
        <w:spacing w:before="320" w:after="120"/>
      </w:pPr>
      <w:r>
        <w:rPr>
          <w:rFonts w:ascii="Arial" w:cs="Arial" w:eastAsia="Arial" w:hAnsi="Arial"/>
          <w:b/>
          <w:bCs/>
          <w:color w:val="0F2D4A"/>
          <w:sz w:val="26"/>
          <w:szCs w:val="26"/>
        </w:rPr>
        <w:t xml:space="preserve">4.2 Sprint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5000"/>
        <w:gridCol w:w="2226"/>
      </w:tblGrid>
      <w:tr>
        <w:trPr>
          <w:tblHeader/>
        </w:trPr>
        <w:tc>
          <w:tcPr>
            <w:tcW w:type="dxa" w:w="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Sprint</w:t>
            </w:r>
          </w:p>
        </w:tc>
        <w:tc>
          <w:tcPr>
            <w:tcW w:type="dxa" w:w="10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Duration</w:t>
            </w:r>
          </w:p>
        </w:tc>
        <w:tc>
          <w:tcPr>
            <w:tcW w:type="dxa" w:w="50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Focus</w:t>
            </w:r>
          </w:p>
        </w:tc>
        <w:tc>
          <w:tcPr>
            <w:tcW w:type="dxa" w:w="22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Gate</w:t>
            </w:r>
          </w:p>
        </w:tc>
      </w:tr>
      <w:tr>
        <w:tc>
          <w:tcPr>
            <w:tcW w:type="dxa" w:w="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0</w:t>
            </w:r>
          </w:p>
        </w:tc>
        <w:tc>
          <w:tcPr>
            <w:tcW w:type="dxa" w:w="1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Monorepo setup, DB, auth, TailAdmin extraction, shared packages, Expo scaffold</w:t>
            </w:r>
          </w:p>
        </w:tc>
        <w:tc>
          <w:tcPr>
            <w:tcW w:type="dxa" w:w="2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Foundation</w:t>
            </w:r>
          </w:p>
        </w:tc>
      </w:tr>
      <w:tr>
        <w:tc>
          <w:tcPr>
            <w:tcW w:type="dxa" w:w="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1</w:t>
            </w:r>
          </w:p>
        </w:tc>
        <w:tc>
          <w:tcPr>
            <w:tcW w:type="dxa" w:w="1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Auth, firms, users, roles — web + mobile login</w:t>
            </w:r>
          </w:p>
        </w:tc>
        <w:tc>
          <w:tcPr>
            <w:tcW w:type="dxa" w:w="2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
            </w:r>
          </w:p>
        </w:tc>
      </w:tr>
      <w:tr>
        <w:tc>
          <w:tcPr>
            <w:tcW w:type="dxa" w:w="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w:t>
            </w:r>
          </w:p>
        </w:tc>
        <w:tc>
          <w:tcPr>
            <w:tcW w:type="dxa" w:w="1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Clients, properties, dashboard shell — web + mobile scaffold</w:t>
            </w:r>
          </w:p>
        </w:tc>
        <w:tc>
          <w:tcPr>
            <w:tcW w:type="dxa" w:w="2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
            </w:r>
          </w:p>
        </w:tc>
      </w:tr>
      <w:tr>
        <w:tc>
          <w:tcPr>
            <w:tcW w:type="dxa" w:w="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3</w:t>
            </w:r>
          </w:p>
        </w:tc>
        <w:tc>
          <w:tcPr>
            <w:tcW w:type="dxa" w:w="1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Case management — full pipeline, stage transitions, overdue logic</w:t>
            </w:r>
          </w:p>
        </w:tc>
        <w:tc>
          <w:tcPr>
            <w:tcW w:type="dxa" w:w="2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
            </w:r>
          </w:p>
        </w:tc>
      </w:tr>
      <w:tr>
        <w:tc>
          <w:tcPr>
            <w:tcW w:type="dxa" w:w="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4</w:t>
            </w:r>
          </w:p>
        </w:tc>
        <w:tc>
          <w:tcPr>
            <w:tcW w:type="dxa" w:w="1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Inspection workflow — mobile native camera, offline save, sync</w:t>
            </w:r>
          </w:p>
        </w:tc>
        <w:tc>
          <w:tcPr>
            <w:tcW w:type="dxa" w:w="2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B71C1C"/>
                <w:sz w:val="19"/>
                <w:szCs w:val="19"/>
              </w:rPr>
              <w:t xml:space="preserve">Pilot Gate</w:t>
            </w:r>
          </w:p>
        </w:tc>
      </w:tr>
      <w:tr>
        <w:tc>
          <w:tcPr>
            <w:tcW w:type="dxa" w:w="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5</w:t>
            </w:r>
          </w:p>
        </w:tc>
        <w:tc>
          <w:tcPr>
            <w:tcW w:type="dxa" w:w="1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Comparable engine — firm library, search, CSV import, case linking</w:t>
            </w:r>
          </w:p>
        </w:tc>
        <w:tc>
          <w:tcPr>
            <w:tcW w:type="dxa" w:w="2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19"/>
                <w:szCs w:val="19"/>
              </w:rPr>
              <w:t xml:space="preserve">Pilot Gate</w:t>
            </w:r>
          </w:p>
        </w:tc>
      </w:tr>
      <w:tr>
        <w:tc>
          <w:tcPr>
            <w:tcW w:type="dxa" w:w="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6a</w:t>
            </w:r>
          </w:p>
        </w:tc>
        <w:tc>
          <w:tcPr>
            <w:tcW w:type="dxa" w:w="1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Analysis workbench + report template design and validation</w:t>
            </w:r>
          </w:p>
        </w:tc>
        <w:tc>
          <w:tcPr>
            <w:tcW w:type="dxa" w:w="2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
            </w:r>
          </w:p>
        </w:tc>
      </w:tr>
      <w:tr>
        <w:tc>
          <w:tcPr>
            <w:tcW w:type="dxa" w:w="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6b</w:t>
            </w:r>
          </w:p>
        </w:tc>
        <w:tc>
          <w:tcPr>
            <w:tcW w:type="dxa" w:w="1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PDF generation, report versioning, status tracking</w:t>
            </w:r>
          </w:p>
        </w:tc>
        <w:tc>
          <w:tcPr>
            <w:tcW w:type="dxa" w:w="2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
            </w:r>
          </w:p>
        </w:tc>
      </w:tr>
      <w:tr>
        <w:tc>
          <w:tcPr>
            <w:tcW w:type="dxa" w:w="8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7</w:t>
            </w:r>
          </w:p>
        </w:tc>
        <w:tc>
          <w:tcPr>
            <w:tcW w:type="dxa" w:w="1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Review, QA, compliance, audit trail, push notifications</w:t>
            </w:r>
          </w:p>
        </w:tc>
        <w:tc>
          <w:tcPr>
            <w:tcW w:type="dxa" w:w="2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
            </w:r>
          </w:p>
        </w:tc>
      </w:tr>
      <w:tr>
        <w:tc>
          <w:tcPr>
            <w:tcW w:type="dxa" w:w="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8</w:t>
            </w:r>
          </w:p>
        </w:tc>
        <w:tc>
          <w:tcPr>
            <w:tcW w:type="dxa" w:w="1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 weeks</w:t>
            </w:r>
          </w:p>
        </w:tc>
        <w:tc>
          <w:tcPr>
            <w:tcW w:type="dxa" w:w="5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Billing, documents, performance hardening, pilot preparation</w:t>
            </w:r>
          </w:p>
        </w:tc>
        <w:tc>
          <w:tcPr>
            <w:tcW w:type="dxa" w:w="2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19"/>
                <w:szCs w:val="19"/>
              </w:rPr>
              <w:t xml:space="preserve">Pilot Gate</w:t>
            </w:r>
          </w:p>
        </w:tc>
      </w:tr>
    </w:tbl>
    <w:p>
      <w:pPr>
        <w:spacing w:before="80" w:after="0"/>
      </w:pPr>
    </w:p>
    <w:p>
      <w:pPr>
        <w:shd w:fill="D6E8F5" w:val="clear"/>
        <w:spacing w:before="120" w:after="120"/>
      </w:pPr>
      <w:r>
        <w:rPr>
          <w:rFonts w:ascii="Arial" w:cs="Arial" w:eastAsia="Arial" w:hAnsi="Arial"/>
          <w:b/>
          <w:bCs/>
          <w:color w:val="0F2D4A"/>
          <w:sz w:val="18"/>
          <w:szCs w:val="18"/>
        </w:rPr>
        <w:t xml:space="preserve">  ℹ  Total estimated duration to pilot-ready product: 20–22 weeks (5 months) from Sprint 0 start with a team of 2 engineers. Pilot targets 3–5 firms. Paid launch follows successful pilot outcomes.</w:t>
      </w:r>
    </w:p>
    <w:p>
      <w:pPr>
        <w:spacing w:before="120" w:after="0"/>
      </w:pPr>
    </w:p>
    <w:p>
      <w:pPr>
        <w:pStyle w:val="Heading2"/>
        <w:spacing w:before="320" w:after="120"/>
      </w:pPr>
      <w:r>
        <w:rPr>
          <w:rFonts w:ascii="Arial" w:cs="Arial" w:eastAsia="Arial" w:hAnsi="Arial"/>
          <w:b/>
          <w:bCs/>
          <w:color w:val="0F2D4A"/>
          <w:sz w:val="26"/>
          <w:szCs w:val="26"/>
        </w:rPr>
        <w:t xml:space="preserve">4.3 Pilot Strategy</w:t>
      </w:r>
    </w:p>
    <w:p>
      <w:pPr>
        <w:spacing w:before="80" w:after="80"/>
        <w:jc w:val="left"/>
      </w:pPr>
      <w:r>
        <w:rPr>
          <w:rFonts w:ascii="Arial" w:cs="Arial" w:eastAsia="Arial" w:hAnsi="Arial"/>
          <w:b w:val="false"/>
          <w:bCs w:val="false"/>
          <w:color w:val="111111"/>
          <w:sz w:val="20"/>
          <w:szCs w:val="20"/>
        </w:rPr>
        <w:t xml:space="preserve">The pilot is the most important commercial milestone before revenue. It proves the product works in real firm conditions, generates the case study material for sales, and validates the comparable reuse value proposition.</w:t>
      </w:r>
    </w:p>
    <w:p>
      <w:pPr>
        <w:spacing w:before="80" w:after="0"/>
      </w:pPr>
    </w:p>
    <w:p>
      <w:pPr>
        <w:spacing w:before="80" w:after="80"/>
        <w:jc w:val="left"/>
      </w:pPr>
      <w:r>
        <w:rPr>
          <w:rFonts w:ascii="Arial" w:cs="Arial" w:eastAsia="Arial" w:hAnsi="Arial"/>
          <w:b w:val="false"/>
          <w:bCs w:val="false"/>
          <w:color w:val="111111"/>
          <w:sz w:val="20"/>
          <w:szCs w:val="20"/>
        </w:rPr>
        <w:t xml:space="preserve">Pilot targets: 3–5 estate surveying and valuation firms in Lagos and Abuja, with at least one multi-valuer firm and one solo practitioner scaling up.</w:t>
      </w:r>
    </w:p>
    <w:p>
      <w:pPr>
        <w:spacing w:before="80" w:after="0"/>
      </w:pPr>
    </w:p>
    <w:p>
      <w:pPr>
        <w:spacing w:before="140" w:after="40"/>
      </w:pPr>
      <w:r>
        <w:rPr>
          <w:rFonts w:ascii="Arial" w:cs="Arial" w:eastAsia="Arial" w:hAnsi="Arial"/>
          <w:b/>
          <w:bCs/>
          <w:color w:val="0F2D4A"/>
          <w:sz w:val="16"/>
          <w:szCs w:val="16"/>
        </w:rPr>
        <w:t xml:space="preserve">WHAT WE MEASURE DURING PILOT</w:t>
      </w:r>
    </w:p>
    <w:p>
      <w:pPr>
        <w:pStyle w:val="ListParagraph"/>
        <w:numPr>
          <w:ilvl w:val="0"/>
          <w:numId w:val="2"/>
        </w:numPr>
        <w:spacing w:before="60" w:after="60"/>
      </w:pPr>
      <w:r>
        <w:rPr>
          <w:rFonts w:ascii="Arial" w:cs="Arial" w:eastAsia="Arial" w:hAnsi="Arial"/>
          <w:color w:val="111111"/>
          <w:sz w:val="20"/>
          <w:szCs w:val="20"/>
        </w:rPr>
        <w:t xml:space="preserve">Average days from instruction received to report issued</w:t>
      </w:r>
    </w:p>
    <w:p>
      <w:pPr>
        <w:pStyle w:val="ListParagraph"/>
        <w:numPr>
          <w:ilvl w:val="0"/>
          <w:numId w:val="2"/>
        </w:numPr>
        <w:spacing w:before="60" w:after="60"/>
      </w:pPr>
      <w:r>
        <w:rPr>
          <w:rFonts w:ascii="Arial" w:cs="Arial" w:eastAsia="Arial" w:hAnsi="Arial"/>
          <w:color w:val="111111"/>
          <w:sz w:val="20"/>
          <w:szCs w:val="20"/>
        </w:rPr>
        <w:t xml:space="preserve">Number of reusable comparables created per case</w:t>
      </w:r>
    </w:p>
    <w:p>
      <w:pPr>
        <w:pStyle w:val="ListParagraph"/>
        <w:numPr>
          <w:ilvl w:val="0"/>
          <w:numId w:val="2"/>
        </w:numPr>
        <w:spacing w:before="60" w:after="60"/>
      </w:pPr>
      <w:r>
        <w:rPr>
          <w:rFonts w:ascii="Arial" w:cs="Arial" w:eastAsia="Arial" w:hAnsi="Arial"/>
          <w:color w:val="111111"/>
          <w:sz w:val="20"/>
          <w:szCs w:val="20"/>
        </w:rPr>
        <w:t xml:space="preserve">Invoice issuance speed (days from final report to invoice raised)</w:t>
      </w:r>
    </w:p>
    <w:p>
      <w:pPr>
        <w:pStyle w:val="ListParagraph"/>
        <w:numPr>
          <w:ilvl w:val="0"/>
          <w:numId w:val="2"/>
        </w:numPr>
        <w:spacing w:before="60" w:after="60"/>
      </w:pPr>
      <w:r>
        <w:rPr>
          <w:rFonts w:ascii="Arial" w:cs="Arial" w:eastAsia="Arial" w:hAnsi="Arial"/>
          <w:color w:val="111111"/>
          <w:sz w:val="20"/>
          <w:szCs w:val="20"/>
        </w:rPr>
        <w:t xml:space="preserve">Reviewer correction cycles per report</w:t>
      </w:r>
    </w:p>
    <w:p>
      <w:pPr>
        <w:pStyle w:val="ListParagraph"/>
        <w:numPr>
          <w:ilvl w:val="0"/>
          <w:numId w:val="2"/>
        </w:numPr>
        <w:spacing w:before="60" w:after="60"/>
      </w:pPr>
      <w:r>
        <w:rPr>
          <w:rFonts w:ascii="Arial" w:cs="Arial" w:eastAsia="Arial" w:hAnsi="Arial"/>
          <w:color w:val="111111"/>
          <w:sz w:val="20"/>
          <w:szCs w:val="20"/>
        </w:rPr>
        <w:t xml:space="preserve">Daily and weekly active user rate per firm</w:t>
      </w:r>
    </w:p>
    <w:p>
      <w:pPr>
        <w:spacing w:before="80" w:after="0"/>
      </w:pPr>
    </w:p>
    <w:p>
      <w:pPr>
        <w:spacing w:before="140" w:after="40"/>
      </w:pPr>
      <w:r>
        <w:rPr>
          <w:rFonts w:ascii="Arial" w:cs="Arial" w:eastAsia="Arial" w:hAnsi="Arial"/>
          <w:b/>
          <w:bCs/>
          <w:color w:val="0F2D4A"/>
          <w:sz w:val="16"/>
          <w:szCs w:val="16"/>
        </w:rPr>
        <w:t xml:space="preserve">PILOT OFFER TO FIRST FIRMS</w:t>
      </w:r>
    </w:p>
    <w:p>
      <w:pPr>
        <w:pStyle w:val="ListParagraph"/>
        <w:numPr>
          <w:ilvl w:val="0"/>
          <w:numId w:val="2"/>
        </w:numPr>
        <w:spacing w:before="60" w:after="60"/>
      </w:pPr>
      <w:r>
        <w:rPr>
          <w:rFonts w:ascii="Arial" w:cs="Arial" w:eastAsia="Arial" w:hAnsi="Arial"/>
          <w:color w:val="111111"/>
          <w:sz w:val="20"/>
          <w:szCs w:val="20"/>
        </w:rPr>
        <w:t xml:space="preserve">First 3 months discounted or free</w:t>
      </w:r>
    </w:p>
    <w:p>
      <w:pPr>
        <w:pStyle w:val="ListParagraph"/>
        <w:numPr>
          <w:ilvl w:val="0"/>
          <w:numId w:val="2"/>
        </w:numPr>
        <w:spacing w:before="60" w:after="60"/>
      </w:pPr>
      <w:r>
        <w:rPr>
          <w:rFonts w:ascii="Arial" w:cs="Arial" w:eastAsia="Arial" w:hAnsi="Arial"/>
          <w:color w:val="111111"/>
          <w:sz w:val="20"/>
          <w:szCs w:val="20"/>
        </w:rPr>
        <w:t xml:space="preserve">Branded report template setup included</w:t>
      </w:r>
    </w:p>
    <w:p>
      <w:pPr>
        <w:pStyle w:val="ListParagraph"/>
        <w:numPr>
          <w:ilvl w:val="0"/>
          <w:numId w:val="2"/>
        </w:numPr>
        <w:spacing w:before="60" w:after="60"/>
      </w:pPr>
      <w:r>
        <w:rPr>
          <w:rFonts w:ascii="Arial" w:cs="Arial" w:eastAsia="Arial" w:hAnsi="Arial"/>
          <w:color w:val="111111"/>
          <w:sz w:val="20"/>
          <w:szCs w:val="20"/>
        </w:rPr>
        <w:t xml:space="preserve">Comparable library seeded from existing firm data via CSV import</w:t>
      </w:r>
    </w:p>
    <w:p>
      <w:pPr>
        <w:pStyle w:val="ListParagraph"/>
        <w:numPr>
          <w:ilvl w:val="0"/>
          <w:numId w:val="2"/>
        </w:numPr>
        <w:spacing w:before="60" w:after="60"/>
      </w:pPr>
      <w:r>
        <w:rPr>
          <w:rFonts w:ascii="Arial" w:cs="Arial" w:eastAsia="Arial" w:hAnsi="Arial"/>
          <w:color w:val="111111"/>
          <w:sz w:val="20"/>
          <w:szCs w:val="20"/>
        </w:rPr>
        <w:t xml:space="preserve">Weekly check-in calls during pilot period</w:t>
      </w:r>
    </w:p>
    <w:p>
      <w:r>
        <w:br w:type="page"/>
      </w:r>
    </w:p>
    <w:p>
      <w:pPr>
        <w:pStyle w:val="Heading1"/>
        <w:spacing w:before="480" w:after="160"/>
      </w:pPr>
      <w:r>
        <w:rPr>
          <w:rFonts w:ascii="Arial" w:cs="Arial" w:eastAsia="Arial" w:hAnsi="Arial"/>
          <w:b/>
          <w:bCs/>
          <w:color w:val="0F2D4A"/>
          <w:sz w:val="34"/>
          <w:szCs w:val="34"/>
        </w:rPr>
        <w:t xml:space="preserve">5.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00"/>
        <w:gridCol w:w="3926"/>
      </w:tblGrid>
      <w:tr>
        <w:trPr>
          <w:tblHeader/>
        </w:trPr>
        <w:tc>
          <w:tcPr>
            <w:tcW w:type="dxa" w:w="26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Risk</w:t>
            </w:r>
          </w:p>
        </w:tc>
        <w:tc>
          <w:tcPr>
            <w:tcW w:type="dxa" w:w="13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Likelihood</w:t>
            </w:r>
          </w:p>
        </w:tc>
        <w:tc>
          <w:tcPr>
            <w:tcW w:type="dxa" w:w="12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Impact</w:t>
            </w:r>
          </w:p>
        </w:tc>
        <w:tc>
          <w:tcPr>
            <w:tcW w:type="dxa" w:w="39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Mitigation</w:t>
            </w:r>
          </w:p>
        </w:tc>
      </w:tr>
      <w:tr>
        <w:tc>
          <w:tcPr>
            <w:tcW w:type="dxa" w:w="2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Firms resist changing existing tools</w:t>
            </w:r>
          </w:p>
        </w:tc>
        <w:tc>
          <w:tcPr>
            <w:tcW w:type="dxa" w:w="13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5D4037"/>
                <w:sz w:val="19"/>
                <w:szCs w:val="19"/>
              </w:rPr>
              <w:t xml:space="preserve">Medium</w:t>
            </w:r>
          </w:p>
        </w:tc>
        <w:tc>
          <w:tcPr>
            <w:tcW w:type="dxa" w:w="1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B71C1C"/>
                <w:sz w:val="19"/>
                <w:szCs w:val="19"/>
              </w:rPr>
              <w:t xml:space="preserve">High</w:t>
            </w:r>
          </w:p>
        </w:tc>
        <w:tc>
          <w:tcPr>
            <w:tcW w:type="dxa" w:w="39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7-day onboarding promise. Import tools for existing data. Fast wins before asking for full workflow change.</w:t>
            </w:r>
          </w:p>
        </w:tc>
      </w:tr>
      <w:tr>
        <w:tc>
          <w:tcPr>
            <w:tcW w:type="dxa" w:w="2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Report output quality doesn't meet firm standards</w:t>
            </w:r>
          </w:p>
        </w:tc>
        <w:tc>
          <w:tcPr>
            <w:tcW w:type="dxa" w:w="13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5D4037"/>
                <w:sz w:val="19"/>
                <w:szCs w:val="19"/>
              </w:rPr>
              <w:t xml:space="preserve">Medium</w:t>
            </w:r>
          </w:p>
        </w:tc>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19"/>
                <w:szCs w:val="19"/>
              </w:rPr>
              <w:t xml:space="preserve">High</w:t>
            </w:r>
          </w:p>
        </w:tc>
        <w:tc>
          <w:tcPr>
            <w:tcW w:type="dxa" w:w="39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Templates built against real firm examples. Pilot firm validation in Sprint 6a before PDF rendering begins.</w:t>
            </w:r>
          </w:p>
        </w:tc>
      </w:tr>
      <w:tr>
        <w:tc>
          <w:tcPr>
            <w:tcW w:type="dxa" w:w="2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Offline inspection sync failure on Android</w:t>
            </w:r>
          </w:p>
        </w:tc>
        <w:tc>
          <w:tcPr>
            <w:tcW w:type="dxa" w:w="13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1B5E20"/>
                <w:sz w:val="19"/>
                <w:szCs w:val="19"/>
              </w:rPr>
              <w:t xml:space="preserve">Low</w:t>
            </w:r>
          </w:p>
        </w:tc>
        <w:tc>
          <w:tcPr>
            <w:tcW w:type="dxa" w:w="1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B71C1C"/>
                <w:sz w:val="19"/>
                <w:szCs w:val="19"/>
              </w:rPr>
              <w:t xml:space="preserve">High</w:t>
            </w:r>
          </w:p>
        </w:tc>
        <w:tc>
          <w:tcPr>
            <w:tcW w:type="dxa" w:w="39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MMKV + expo-sqlite offline storage. Sprint 4 pilot gate requires confirmed sync before proceeding.</w:t>
            </w:r>
          </w:p>
        </w:tc>
      </w:tr>
      <w:tr>
        <w:tc>
          <w:tcPr>
            <w:tcW w:type="dxa" w:w="2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Comparable library empty at pilot launch</w:t>
            </w:r>
          </w:p>
        </w:tc>
        <w:tc>
          <w:tcPr>
            <w:tcW w:type="dxa" w:w="13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5D4037"/>
                <w:sz w:val="19"/>
                <w:szCs w:val="19"/>
              </w:rPr>
              <w:t xml:space="preserve">Medium</w:t>
            </w:r>
          </w:p>
        </w:tc>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19"/>
                <w:szCs w:val="19"/>
              </w:rPr>
              <w:t xml:space="preserve">High</w:t>
            </w:r>
          </w:p>
        </w:tc>
        <w:tc>
          <w:tcPr>
            <w:tcW w:type="dxa" w:w="39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CSV import in Sprint 5 is a pilot gate. Pilot firms seed their existing comparable data before launch.</w:t>
            </w:r>
          </w:p>
        </w:tc>
      </w:tr>
      <w:tr>
        <w:tc>
          <w:tcPr>
            <w:tcW w:type="dxa" w:w="2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Slow adoption in NIESV professional circles</w:t>
            </w:r>
          </w:p>
        </w:tc>
        <w:tc>
          <w:tcPr>
            <w:tcW w:type="dxa" w:w="13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5D4037"/>
                <w:sz w:val="19"/>
                <w:szCs w:val="19"/>
              </w:rPr>
              <w:t xml:space="preserve">Medium</w:t>
            </w:r>
          </w:p>
        </w:tc>
        <w:tc>
          <w:tcPr>
            <w:tcW w:type="dxa" w:w="1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5D4037"/>
                <w:sz w:val="19"/>
                <w:szCs w:val="19"/>
              </w:rPr>
              <w:t xml:space="preserve">Medium</w:t>
            </w:r>
          </w:p>
        </w:tc>
        <w:tc>
          <w:tcPr>
            <w:tcW w:type="dxa" w:w="39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NIESV-adjacent outreach, CPD partnership consideration, founder-led sales to managing partners.</w:t>
            </w:r>
          </w:p>
        </w:tc>
      </w:tr>
      <w:tr>
        <w:tc>
          <w:tcPr>
            <w:tcW w:type="dxa" w:w="2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Competitor enters Nigerian valuation market</w:t>
            </w:r>
          </w:p>
        </w:tc>
        <w:tc>
          <w:tcPr>
            <w:tcW w:type="dxa" w:w="13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9"/>
                <w:szCs w:val="19"/>
              </w:rPr>
              <w:t xml:space="preserve">Low</w:t>
            </w:r>
          </w:p>
        </w:tc>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5D4037"/>
                <w:sz w:val="19"/>
                <w:szCs w:val="19"/>
              </w:rPr>
              <w:t xml:space="preserve">Medium</w:t>
            </w:r>
          </w:p>
        </w:tc>
        <w:tc>
          <w:tcPr>
            <w:tcW w:type="dxa" w:w="39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Speed to pilot and comparable data moat. First mover in a niche B2B market is a durable position.</w:t>
            </w:r>
          </w:p>
        </w:tc>
      </w:tr>
      <w:tr>
        <w:tc>
          <w:tcPr>
            <w:tcW w:type="dxa" w:w="2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Small team capacity — scope creep</w:t>
            </w:r>
          </w:p>
        </w:tc>
        <w:tc>
          <w:tcPr>
            <w:tcW w:type="dxa" w:w="13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5D4037"/>
                <w:sz w:val="19"/>
                <w:szCs w:val="19"/>
              </w:rPr>
              <w:t xml:space="preserve">Medium</w:t>
            </w:r>
          </w:p>
        </w:tc>
        <w:tc>
          <w:tcPr>
            <w:tcW w:type="dxa" w:w="12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bCs/>
                <w:color w:val="5D4037"/>
                <w:sz w:val="19"/>
                <w:szCs w:val="19"/>
              </w:rPr>
              <w:t xml:space="preserve">Medium</w:t>
            </w:r>
          </w:p>
        </w:tc>
        <w:tc>
          <w:tcPr>
            <w:tcW w:type="dxa" w:w="39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Strict sprint discipline. Non-MVP features in v1.5/v2 backlog. Pilot gates prevent premature expansion.</w:t>
            </w:r>
          </w:p>
        </w:tc>
      </w:tr>
      <w:tr>
        <w:tc>
          <w:tcPr>
            <w:tcW w:type="dxa" w:w="2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PDF generation performance on serverless</w:t>
            </w:r>
          </w:p>
        </w:tc>
        <w:tc>
          <w:tcPr>
            <w:tcW w:type="dxa" w:w="13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9"/>
                <w:szCs w:val="19"/>
              </w:rPr>
              <w:t xml:space="preserve">Low</w:t>
            </w:r>
          </w:p>
        </w:tc>
        <w:tc>
          <w:tcPr>
            <w:tcW w:type="dxa" w:w="1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9"/>
                <w:szCs w:val="19"/>
              </w:rPr>
              <w:t xml:space="preserve">Low</w:t>
            </w:r>
          </w:p>
        </w:tc>
        <w:tc>
          <w:tcPr>
            <w:tcW w:type="dxa" w:w="39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Puppeteer runs via Trigger.dev (own execution environment). API response never waits for PDF.</w:t>
            </w:r>
          </w:p>
        </w:tc>
      </w:tr>
    </w:tbl>
    <w:p>
      <w:pPr>
        <w:spacing w:before="120" w:after="0"/>
      </w:pPr>
    </w:p>
    <w:p>
      <w:pPr>
        <w:pStyle w:val="Heading2"/>
        <w:spacing w:before="320" w:after="120"/>
      </w:pPr>
      <w:r>
        <w:rPr>
          <w:rFonts w:ascii="Arial" w:cs="Arial" w:eastAsia="Arial" w:hAnsi="Arial"/>
          <w:b/>
          <w:bCs/>
          <w:color w:val="0F2D4A"/>
          <w:sz w:val="26"/>
          <w:szCs w:val="26"/>
        </w:rPr>
        <w:t xml:space="preserve">5.1 Overall Feasibility Assessment</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00"/>
        <w:gridCol w:w="4400"/>
      </w:tblGrid>
      <w:tr>
        <w:trPr>
          <w:tblHeader/>
        </w:trPr>
        <w:tc>
          <w:tcPr>
            <w:tcW w:type="dxa" w:w="32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Dimension</w:t>
            </w:r>
          </w:p>
        </w:tc>
        <w:tc>
          <w:tcPr>
            <w:tcW w:type="dxa" w:w="1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Rating</w:t>
            </w:r>
          </w:p>
        </w:tc>
        <w:tc>
          <w:tcPr>
            <w:tcW w:type="dxa" w:w="4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Basis</w:t>
            </w:r>
          </w:p>
        </w:tc>
      </w:tr>
      <w:tr>
        <w:tc>
          <w:tcPr>
            <w:tcW w:type="dxa" w:w="3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Market need</w:t>
            </w:r>
          </w:p>
        </w:tc>
        <w:tc>
          <w:tcPr>
            <w:tcW w:type="dxa" w:w="1400"/>
            <w:tcBorders>
              <w:top w:val="single" w:color="C8D0D8" w:sz="1"/>
              <w:left w:val="single" w:color="C8D0D8" w:sz="1"/>
              <w:bottom w:val="single" w:color="C8D0D8" w:sz="1"/>
              <w:right w:val="single" w:color="C8D0D8"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High</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Structural gap — no valuation-specific platform for Nigerian firms</w:t>
            </w:r>
          </w:p>
        </w:tc>
      </w:tr>
      <w:tr>
        <w:tc>
          <w:tcPr>
            <w:tcW w:type="dxa" w:w="3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Technical feasibility</w:t>
            </w:r>
          </w:p>
        </w:tc>
        <w:tc>
          <w:tcPr>
            <w:tcW w:type="dxa" w:w="1400"/>
            <w:tcBorders>
              <w:top w:val="single" w:color="C8D0D8" w:sz="1"/>
              <w:left w:val="single" w:color="C8D0D8" w:sz="1"/>
              <w:bottom w:val="single" w:color="C8D0D8" w:sz="1"/>
              <w:right w:val="single" w:color="C8D0D8"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High</w:t>
            </w:r>
          </w:p>
        </w:tc>
        <w:tc>
          <w:tcPr>
            <w:tcW w:type="dxa" w:w="4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Well-understood stack, experienced developer, modular architecture, no novel technical risk</w:t>
            </w:r>
          </w:p>
        </w:tc>
      </w:tr>
      <w:tr>
        <w:tc>
          <w:tcPr>
            <w:tcW w:type="dxa" w:w="3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Commercial viability</w:t>
            </w:r>
          </w:p>
        </w:tc>
        <w:tc>
          <w:tcPr>
            <w:tcW w:type="dxa" w:w="1400"/>
            <w:tcBorders>
              <w:top w:val="single" w:color="C8D0D8" w:sz="1"/>
              <w:left w:val="single" w:color="C8D0D8" w:sz="1"/>
              <w:bottom w:val="single" w:color="C8D0D8" w:sz="1"/>
              <w:right w:val="single" w:color="C8D0D8"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High</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B2B SaaS, recurring revenue, clear pricing, addressable market of 1,000+ firms</w:t>
            </w:r>
          </w:p>
        </w:tc>
      </w:tr>
      <w:tr>
        <w:tc>
          <w:tcPr>
            <w:tcW w:type="dxa" w:w="3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Competitive position</w:t>
            </w:r>
          </w:p>
        </w:tc>
        <w:tc>
          <w:tcPr>
            <w:tcW w:type="dxa" w:w="1400"/>
            <w:tcBorders>
              <w:top w:val="single" w:color="C8D0D8" w:sz="1"/>
              <w:left w:val="single" w:color="C8D0D8" w:sz="1"/>
              <w:bottom w:val="single" w:color="C8D0D8" w:sz="1"/>
              <w:right w:val="single" w:color="C8D0D8"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High</w:t>
            </w:r>
          </w:p>
        </w:tc>
        <w:tc>
          <w:tcPr>
            <w:tcW w:type="dxa" w:w="4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No direct competitor — first mover in a defined, defensible niche</w:t>
            </w:r>
          </w:p>
        </w:tc>
      </w:tr>
      <w:tr>
        <w:tc>
          <w:tcPr>
            <w:tcW w:type="dxa" w:w="3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Build complexity</w:t>
            </w:r>
          </w:p>
        </w:tc>
        <w:tc>
          <w:tcPr>
            <w:tcW w:type="dxa" w:w="1400"/>
            <w:tcBorders>
              <w:top w:val="single" w:color="C8D0D8" w:sz="1"/>
              <w:left w:val="single" w:color="C8D0D8" w:sz="1"/>
              <w:bottom w:val="single" w:color="C8D0D8" w:sz="1"/>
              <w:right w:val="single" w:color="C8D0D8" w:sz="1"/>
            </w:tcBorders>
            <w:shd w:fill="FFF8E1" w:val="clear"/>
            <w:tcMar>
              <w:top w:type="dxa" w:w="80"/>
              <w:left w:type="dxa" w:w="120"/>
              <w:bottom w:type="dxa" w:w="80"/>
              <w:right w:type="dxa" w:w="120"/>
            </w:tcMar>
            <w:vAlign w:val="center"/>
          </w:tcPr>
          <w:p>
            <w:pPr>
              <w:jc w:val="center"/>
            </w:pPr>
            <w:r>
              <w:rPr>
                <w:rFonts w:ascii="Arial" w:cs="Arial" w:eastAsia="Arial" w:hAnsi="Arial"/>
                <w:b/>
                <w:bCs/>
                <w:color w:val="5D4037"/>
                <w:sz w:val="18"/>
                <w:szCs w:val="18"/>
              </w:rPr>
              <w:t xml:space="preserve">Medium</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12 modules, web + mobile, 10 sprints — manageable with the right team</w:t>
            </w:r>
          </w:p>
        </w:tc>
      </w:tr>
      <w:tr>
        <w:tc>
          <w:tcPr>
            <w:tcW w:type="dxa" w:w="32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Go-to-market</w:t>
            </w:r>
          </w:p>
        </w:tc>
        <w:tc>
          <w:tcPr>
            <w:tcW w:type="dxa" w:w="1400"/>
            <w:tcBorders>
              <w:top w:val="single" w:color="C8D0D8" w:sz="1"/>
              <w:left w:val="single" w:color="C8D0D8" w:sz="1"/>
              <w:bottom w:val="single" w:color="C8D0D8" w:sz="1"/>
              <w:right w:val="single" w:color="C8D0D8" w:sz="1"/>
            </w:tcBorders>
            <w:shd w:fill="FFF8E1" w:val="clear"/>
            <w:tcMar>
              <w:top w:type="dxa" w:w="80"/>
              <w:left w:type="dxa" w:w="120"/>
              <w:bottom w:type="dxa" w:w="80"/>
              <w:right w:type="dxa" w:w="120"/>
            </w:tcMar>
            <w:vAlign w:val="center"/>
          </w:tcPr>
          <w:p>
            <w:pPr>
              <w:jc w:val="center"/>
            </w:pPr>
            <w:r>
              <w:rPr>
                <w:rFonts w:ascii="Arial" w:cs="Arial" w:eastAsia="Arial" w:hAnsi="Arial"/>
                <w:b/>
                <w:bCs/>
                <w:color w:val="5D4037"/>
                <w:sz w:val="18"/>
                <w:szCs w:val="18"/>
              </w:rPr>
              <w:t xml:space="preserve">Medium</w:t>
            </w:r>
          </w:p>
        </w:tc>
        <w:tc>
          <w:tcPr>
            <w:tcW w:type="dxa" w:w="4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Requires founder-led sales, NIESV credibility, and strong pilot outcomes</w:t>
            </w:r>
          </w:p>
        </w:tc>
      </w:tr>
      <w:tr>
        <w:tc>
          <w:tcPr>
            <w:tcW w:type="dxa" w:w="32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Data moat potential</w:t>
            </w:r>
          </w:p>
        </w:tc>
        <w:tc>
          <w:tcPr>
            <w:tcW w:type="dxa" w:w="1400"/>
            <w:tcBorders>
              <w:top w:val="single" w:color="C8D0D8" w:sz="1"/>
              <w:left w:val="single" w:color="C8D0D8" w:sz="1"/>
              <w:bottom w:val="single" w:color="C8D0D8" w:sz="1"/>
              <w:right w:val="single" w:color="C8D0D8"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High</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Comparable library compounds with usage — structural long-term defensibility</w:t>
            </w:r>
          </w:p>
        </w:tc>
      </w:tr>
    </w:tbl>
    <w:p>
      <w:r>
        <w:br w:type="page"/>
      </w:r>
    </w:p>
    <w:p>
      <w:pPr>
        <w:pStyle w:val="Heading1"/>
        <w:spacing w:before="480" w:after="160"/>
      </w:pPr>
      <w:r>
        <w:rPr>
          <w:rFonts w:ascii="Arial" w:cs="Arial" w:eastAsia="Arial" w:hAnsi="Arial"/>
          <w:b/>
          <w:bCs/>
          <w:color w:val="0F2D4A"/>
          <w:sz w:val="34"/>
          <w:szCs w:val="34"/>
        </w:rPr>
        <w:t xml:space="preserve">6. Partnership Structure Under Consideration</w:t>
      </w:r>
    </w:p>
    <w:p>
      <w:pPr>
        <w:spacing w:before="80" w:after="80"/>
        <w:jc w:val="left"/>
      </w:pPr>
      <w:r>
        <w:rPr>
          <w:rFonts w:ascii="Arial" w:cs="Arial" w:eastAsia="Arial" w:hAnsi="Arial"/>
          <w:b w:val="false"/>
          <w:bCs w:val="false"/>
          <w:color w:val="111111"/>
          <w:sz w:val="20"/>
          <w:szCs w:val="20"/>
        </w:rPr>
        <w:t xml:space="preserve">This section outlines the basis on which a technical co-founder partnership is being considered. The structure is a starting point for discussion, not a final offer. All terms are subject to negotiation between parties.</w:t>
      </w:r>
    </w:p>
    <w:p>
      <w:pPr>
        <w:spacing w:before="120" w:after="0"/>
      </w:pPr>
    </w:p>
    <w:p>
      <w:pPr>
        <w:pStyle w:val="Heading2"/>
        <w:spacing w:before="320" w:after="120"/>
      </w:pPr>
      <w:r>
        <w:rPr>
          <w:rFonts w:ascii="Arial" w:cs="Arial" w:eastAsia="Arial" w:hAnsi="Arial"/>
          <w:b/>
          <w:bCs/>
          <w:color w:val="0F2D4A"/>
          <w:sz w:val="26"/>
          <w:szCs w:val="26"/>
        </w:rPr>
        <w:t xml:space="preserve">6.1 What the Founder Brings</w:t>
      </w:r>
    </w:p>
    <w:p>
      <w:pPr>
        <w:pStyle w:val="ListParagraph"/>
        <w:numPr>
          <w:ilvl w:val="0"/>
          <w:numId w:val="2"/>
        </w:numPr>
        <w:spacing w:before="60" w:after="60"/>
      </w:pPr>
      <w:r>
        <w:rPr>
          <w:rFonts w:ascii="Arial" w:cs="Arial" w:eastAsia="Arial" w:hAnsi="Arial"/>
          <w:color w:val="111111"/>
          <w:sz w:val="20"/>
          <w:szCs w:val="20"/>
        </w:rPr>
        <w:t xml:space="preserve">Full product definition — Functionality Bible (v3.0), PRD, wireframe map, sprint plan, database schema, API specifications, all business logic rules</w:t>
      </w:r>
    </w:p>
    <w:p>
      <w:pPr>
        <w:pStyle w:val="ListParagraph"/>
        <w:numPr>
          <w:ilvl w:val="0"/>
          <w:numId w:val="2"/>
        </w:numPr>
        <w:spacing w:before="60" w:after="60"/>
      </w:pPr>
      <w:r>
        <w:rPr>
          <w:rFonts w:ascii="Arial" w:cs="Arial" w:eastAsia="Arial" w:hAnsi="Arial"/>
          <w:color w:val="111111"/>
          <w:sz w:val="20"/>
          <w:szCs w:val="20"/>
        </w:rPr>
        <w:t xml:space="preserve">Market domain knowledge — over a decade of digital product development, deep understanding of Nigerian property market operational realities</w:t>
      </w:r>
    </w:p>
    <w:p>
      <w:pPr>
        <w:pStyle w:val="ListParagraph"/>
        <w:numPr>
          <w:ilvl w:val="0"/>
          <w:numId w:val="2"/>
        </w:numPr>
        <w:spacing w:before="60" w:after="60"/>
      </w:pPr>
      <w:r>
        <w:rPr>
          <w:rFonts w:ascii="Arial" w:cs="Arial" w:eastAsia="Arial" w:hAnsi="Arial"/>
          <w:color w:val="111111"/>
          <w:sz w:val="20"/>
          <w:szCs w:val="20"/>
        </w:rPr>
        <w:t xml:space="preserve">Commercial strategy — positioning, pricing, go-to-market, NIESV channel, pilot firm relationships</w:t>
      </w:r>
    </w:p>
    <w:p>
      <w:pPr>
        <w:pStyle w:val="ListParagraph"/>
        <w:numPr>
          <w:ilvl w:val="0"/>
          <w:numId w:val="2"/>
        </w:numPr>
        <w:spacing w:before="60" w:after="60"/>
      </w:pPr>
      <w:r>
        <w:rPr>
          <w:rFonts w:ascii="Arial" w:cs="Arial" w:eastAsia="Arial" w:hAnsi="Arial"/>
          <w:color w:val="111111"/>
          <w:sz w:val="20"/>
          <w:szCs w:val="20"/>
        </w:rPr>
        <w:t xml:space="preserve">Business infrastructure — registered company (Paradigm Shift Multimedia Ltd, Company No. 17048990, UK), commercial framework, client relationships</w:t>
      </w:r>
    </w:p>
    <w:p>
      <w:pPr>
        <w:pStyle w:val="ListParagraph"/>
        <w:numPr>
          <w:ilvl w:val="0"/>
          <w:numId w:val="2"/>
        </w:numPr>
        <w:spacing w:before="60" w:after="60"/>
      </w:pPr>
      <w:r>
        <w:rPr>
          <w:rFonts w:ascii="Arial" w:cs="Arial" w:eastAsia="Arial" w:hAnsi="Arial"/>
          <w:color w:val="111111"/>
          <w:sz w:val="20"/>
          <w:szCs w:val="20"/>
        </w:rPr>
        <w:t xml:space="preserve">Ongoing product leadership — founder-led sales, pilot management, customer development, roadmap ownership</w:t>
      </w:r>
    </w:p>
    <w:p>
      <w:pPr>
        <w:spacing w:before="120" w:after="0"/>
      </w:pPr>
    </w:p>
    <w:p>
      <w:pPr>
        <w:pStyle w:val="Heading2"/>
        <w:spacing w:before="320" w:after="120"/>
      </w:pPr>
      <w:r>
        <w:rPr>
          <w:rFonts w:ascii="Arial" w:cs="Arial" w:eastAsia="Arial" w:hAnsi="Arial"/>
          <w:b/>
          <w:bCs/>
          <w:color w:val="0F2D4A"/>
          <w:sz w:val="26"/>
          <w:szCs w:val="26"/>
        </w:rPr>
        <w:t xml:space="preserve">6.2 What the Technical Co-Founder Would Own</w:t>
      </w:r>
    </w:p>
    <w:p>
      <w:pPr>
        <w:pStyle w:val="ListParagraph"/>
        <w:numPr>
          <w:ilvl w:val="0"/>
          <w:numId w:val="2"/>
        </w:numPr>
        <w:spacing w:before="60" w:after="60"/>
      </w:pPr>
      <w:r>
        <w:rPr>
          <w:rFonts w:ascii="Arial" w:cs="Arial" w:eastAsia="Arial" w:hAnsi="Arial"/>
          <w:color w:val="111111"/>
          <w:sz w:val="20"/>
          <w:szCs w:val="20"/>
        </w:rPr>
        <w:t xml:space="preserve">Full-stack engineering leadership — architecture decisions, code quality, technical hiring, engineering culture</w:t>
      </w:r>
    </w:p>
    <w:p>
      <w:pPr>
        <w:pStyle w:val="ListParagraph"/>
        <w:numPr>
          <w:ilvl w:val="0"/>
          <w:numId w:val="2"/>
        </w:numPr>
        <w:spacing w:before="60" w:after="60"/>
      </w:pPr>
      <w:r>
        <w:rPr>
          <w:rFonts w:ascii="Arial" w:cs="Arial" w:eastAsia="Arial" w:hAnsi="Arial"/>
          <w:color w:val="111111"/>
          <w:sz w:val="20"/>
          <w:szCs w:val="20"/>
        </w:rPr>
        <w:t xml:space="preserve">Backend development — Next.js Route Handlers, Prisma, PostgreSQL, multi-tenancy, background jobs</w:t>
      </w:r>
    </w:p>
    <w:p>
      <w:pPr>
        <w:pStyle w:val="ListParagraph"/>
        <w:numPr>
          <w:ilvl w:val="0"/>
          <w:numId w:val="2"/>
        </w:numPr>
        <w:spacing w:before="60" w:after="60"/>
      </w:pPr>
      <w:r>
        <w:rPr>
          <w:rFonts w:ascii="Arial" w:cs="Arial" w:eastAsia="Arial" w:hAnsi="Arial"/>
          <w:color w:val="111111"/>
          <w:sz w:val="20"/>
          <w:szCs w:val="20"/>
        </w:rPr>
        <w:t xml:space="preserve">Frontend development — web platform, TailAdmin integration, custom component builds</w:t>
      </w:r>
    </w:p>
    <w:p>
      <w:pPr>
        <w:pStyle w:val="ListParagraph"/>
        <w:numPr>
          <w:ilvl w:val="0"/>
          <w:numId w:val="2"/>
        </w:numPr>
        <w:spacing w:before="60" w:after="60"/>
      </w:pPr>
      <w:r>
        <w:rPr>
          <w:rFonts w:ascii="Arial" w:cs="Arial" w:eastAsia="Arial" w:hAnsi="Arial"/>
          <w:color w:val="111111"/>
          <w:sz w:val="20"/>
          <w:szCs w:val="20"/>
        </w:rPr>
        <w:t xml:space="preserve">Mobile development — Expo React Native, native camera, offline sync, push notifications</w:t>
      </w:r>
    </w:p>
    <w:p>
      <w:pPr>
        <w:pStyle w:val="ListParagraph"/>
        <w:numPr>
          <w:ilvl w:val="0"/>
          <w:numId w:val="2"/>
        </w:numPr>
        <w:spacing w:before="60" w:after="60"/>
      </w:pPr>
      <w:r>
        <w:rPr>
          <w:rFonts w:ascii="Arial" w:cs="Arial" w:eastAsia="Arial" w:hAnsi="Arial"/>
          <w:color w:val="111111"/>
          <w:sz w:val="20"/>
          <w:szCs w:val="20"/>
        </w:rPr>
        <w:t xml:space="preserve">Infrastructure and DevOps — CI/CD, hosting, S3, Redis, monitoring, security</w:t>
      </w:r>
    </w:p>
    <w:p>
      <w:pPr>
        <w:pStyle w:val="ListParagraph"/>
        <w:numPr>
          <w:ilvl w:val="0"/>
          <w:numId w:val="2"/>
        </w:numPr>
        <w:spacing w:before="60" w:after="60"/>
      </w:pPr>
      <w:r>
        <w:rPr>
          <w:rFonts w:ascii="Arial" w:cs="Arial" w:eastAsia="Arial" w:hAnsi="Arial"/>
          <w:color w:val="111111"/>
          <w:sz w:val="20"/>
          <w:szCs w:val="20"/>
        </w:rPr>
        <w:t xml:space="preserve">Technical due diligence — representing the product's technical integrity to investors and enterprise clients</w:t>
      </w:r>
    </w:p>
    <w:p>
      <w:pPr>
        <w:spacing w:before="120" w:after="0"/>
      </w:pPr>
    </w:p>
    <w:p>
      <w:pPr>
        <w:pStyle w:val="Heading2"/>
        <w:spacing w:before="320" w:after="120"/>
      </w:pPr>
      <w:r>
        <w:rPr>
          <w:rFonts w:ascii="Arial" w:cs="Arial" w:eastAsia="Arial" w:hAnsi="Arial"/>
          <w:b/>
          <w:bCs/>
          <w:color w:val="0F2D4A"/>
          <w:sz w:val="26"/>
          <w:szCs w:val="26"/>
        </w:rPr>
        <w:t xml:space="preserve">6.3 Partnership Principles Under Discussion</w:t>
      </w:r>
    </w:p>
    <w:p>
      <w:pPr>
        <w:shd w:fill="FFF8E1" w:val="clear"/>
        <w:spacing w:before="120" w:after="120"/>
      </w:pPr>
      <w:r>
        <w:rPr>
          <w:rFonts w:ascii="Arial" w:cs="Arial" w:eastAsia="Arial" w:hAnsi="Arial"/>
          <w:b/>
          <w:bCs/>
          <w:color w:val="5D4037"/>
          <w:sz w:val="18"/>
          <w:szCs w:val="18"/>
        </w:rPr>
        <w:t xml:space="preserve">  ⚠  The following principles are proposed as a starting framework. Specific equity splits, vesting schedules, IP assignment, and decision rights are subject to legal agreement between both parties.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Principle</w:t>
            </w:r>
          </w:p>
        </w:tc>
        <w:tc>
          <w:tcPr>
            <w:tcW w:type="dxa" w:w="66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Proposed Framework</w:t>
            </w:r>
          </w:p>
        </w:tc>
      </w:tr>
      <w:tr>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Equity structure</w:t>
            </w:r>
          </w:p>
        </w:tc>
        <w:tc>
          <w:tcPr>
            <w:tcW w:type="dxa" w:w="6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Founder equity split with vesting — typical co-founder arrangement. Specific percentage based on negotiation reflecting contribution, timing, and risk profile.</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Vesting schedule</w:t>
            </w:r>
          </w:p>
        </w:tc>
        <w:tc>
          <w:tcPr>
            <w:tcW w:type="dxa" w:w="6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4-year vest with 1-year cliff — standard for co-founding arrangements. Protects both parties.</w:t>
            </w:r>
          </w:p>
        </w:tc>
      </w:tr>
      <w:tr>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IP ownership</w:t>
            </w:r>
          </w:p>
        </w:tc>
        <w:tc>
          <w:tcPr>
            <w:tcW w:type="dxa" w:w="6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All IP developed for Valuation OS assigned to the company (Paradigm Shift Multimedia Ltd or a dedicated product entity). No individual IP retention.</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Decision rights</w:t>
            </w:r>
          </w:p>
        </w:tc>
        <w:tc>
          <w:tcPr>
            <w:tcW w:type="dxa" w:w="6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Product and commercial decisions — Founder lead. Technical architecture and engineering decisions — Technical Co-Founder lead. Major company decisions — joint.</w:t>
            </w:r>
          </w:p>
        </w:tc>
      </w:tr>
      <w:tr>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Compensation</w:t>
            </w:r>
          </w:p>
        </w:tc>
        <w:tc>
          <w:tcPr>
            <w:tcW w:type="dxa" w:w="6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Deferred salary or minimal draw during build phase. Market-rate compensation tied to funding or revenue milestones. Specifics to be agreed.</w:t>
            </w:r>
          </w:p>
        </w:tc>
      </w:tr>
      <w:tr>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Commitment expectation</w:t>
            </w:r>
          </w:p>
        </w:tc>
        <w:tc>
          <w:tcPr>
            <w:tcW w:type="dxa" w:w="6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Full-time equivalent commitment to the product during MVP build and pilot phases. Part-time arrangements discussed on merit.</w:t>
            </w:r>
          </w:p>
        </w:tc>
      </w:tr>
      <w:tr>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Role evolution</w:t>
            </w:r>
          </w:p>
        </w:tc>
        <w:tc>
          <w:tcPr>
            <w:tcW w:type="dxa" w:w="6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Technical Co-Founder transitions to CTO role as the company grows and hires additional engineers.</w:t>
            </w:r>
          </w:p>
        </w:tc>
      </w:tr>
    </w:tbl>
    <w:p>
      <w:pPr>
        <w:spacing w:before="120" w:after="0"/>
      </w:pPr>
    </w:p>
    <w:p>
      <w:pPr>
        <w:pStyle w:val="Heading2"/>
        <w:spacing w:before="320" w:after="120"/>
      </w:pPr>
      <w:r>
        <w:rPr>
          <w:rFonts w:ascii="Arial" w:cs="Arial" w:eastAsia="Arial" w:hAnsi="Arial"/>
          <w:b/>
          <w:bCs/>
          <w:color w:val="0F2D4A"/>
          <w:sz w:val="26"/>
          <w:szCs w:val="26"/>
        </w:rPr>
        <w:t xml:space="preserve">6.4 Immediate Next Steps If Moving Forward</w:t>
      </w:r>
    </w:p>
    <w:p>
      <w:pPr>
        <w:pStyle w:val="ListParagraph"/>
        <w:numPr>
          <w:ilvl w:val="0"/>
          <w:numId w:val="3"/>
        </w:numPr>
        <w:spacing w:before="60" w:after="60"/>
      </w:pPr>
      <w:r>
        <w:rPr>
          <w:rFonts w:ascii="Arial" w:cs="Arial" w:eastAsia="Arial" w:hAnsi="Arial"/>
          <w:color w:val="111111"/>
          <w:sz w:val="20"/>
          <w:szCs w:val="20"/>
        </w:rPr>
        <w:t xml:space="preserve">NDA in place (already shared or to be agreed)</w:t>
      </w:r>
    </w:p>
    <w:p>
      <w:pPr>
        <w:pStyle w:val="ListParagraph"/>
        <w:numPr>
          <w:ilvl w:val="0"/>
          <w:numId w:val="3"/>
        </w:numPr>
        <w:spacing w:before="60" w:after="60"/>
      </w:pPr>
      <w:r>
        <w:rPr>
          <w:rFonts w:ascii="Arial" w:cs="Arial" w:eastAsia="Arial" w:hAnsi="Arial"/>
          <w:color w:val="111111"/>
          <w:sz w:val="20"/>
          <w:szCs w:val="20"/>
        </w:rPr>
        <w:t xml:space="preserve">Technical review of the Functionality Bible v3.0 — co-founder technical assessment of architecture, feasibility, and any proposed changes</w:t>
      </w:r>
    </w:p>
    <w:p>
      <w:pPr>
        <w:pStyle w:val="ListParagraph"/>
        <w:numPr>
          <w:ilvl w:val="0"/>
          <w:numId w:val="3"/>
        </w:numPr>
        <w:spacing w:before="60" w:after="60"/>
      </w:pPr>
      <w:r>
        <w:rPr>
          <w:rFonts w:ascii="Arial" w:cs="Arial" w:eastAsia="Arial" w:hAnsi="Arial"/>
          <w:color w:val="111111"/>
          <w:sz w:val="20"/>
          <w:szCs w:val="20"/>
        </w:rPr>
        <w:t xml:space="preserve">Alignment conversation — commercial vision, personal working styles, commitment levels, expectations</w:t>
      </w:r>
    </w:p>
    <w:p>
      <w:pPr>
        <w:pStyle w:val="ListParagraph"/>
        <w:numPr>
          <w:ilvl w:val="0"/>
          <w:numId w:val="3"/>
        </w:numPr>
        <w:spacing w:before="60" w:after="60"/>
      </w:pPr>
      <w:r>
        <w:rPr>
          <w:rFonts w:ascii="Arial" w:cs="Arial" w:eastAsia="Arial" w:hAnsi="Arial"/>
          <w:color w:val="111111"/>
          <w:sz w:val="20"/>
          <w:szCs w:val="20"/>
        </w:rPr>
        <w:t xml:space="preserve">Heads of Terms drafted — simple co-founder agreement covering equity, vesting, IP, roles, and decision rights</w:t>
      </w:r>
    </w:p>
    <w:p>
      <w:pPr>
        <w:pStyle w:val="ListParagraph"/>
        <w:numPr>
          <w:ilvl w:val="0"/>
          <w:numId w:val="3"/>
        </w:numPr>
        <w:spacing w:before="60" w:after="60"/>
      </w:pPr>
      <w:r>
        <w:rPr>
          <w:rFonts w:ascii="Arial" w:cs="Arial" w:eastAsia="Arial" w:hAnsi="Arial"/>
          <w:color w:val="111111"/>
          <w:sz w:val="20"/>
          <w:szCs w:val="20"/>
        </w:rPr>
        <w:t xml:space="preserve">Sprint 0 kickoff — monorepo setup, environment configuration, initial architecture decisions</w:t>
      </w:r>
    </w:p>
    <w:p>
      <w:r>
        <w:br w:type="page"/>
      </w:r>
    </w:p>
    <w:p>
      <w:pPr>
        <w:pStyle w:val="Heading1"/>
        <w:spacing w:before="480" w:after="160"/>
      </w:pPr>
      <w:r>
        <w:rPr>
          <w:rFonts w:ascii="Arial" w:cs="Arial" w:eastAsia="Arial" w:hAnsi="Arial"/>
          <w:b/>
          <w:bCs/>
          <w:color w:val="0F2D4A"/>
          <w:sz w:val="34"/>
          <w:szCs w:val="34"/>
        </w:rPr>
        <w:t xml:space="preserve">7. What We Are Building — Module Summary</w:t>
      </w:r>
    </w:p>
    <w:p>
      <w:pPr>
        <w:spacing w:before="80" w:after="80"/>
        <w:jc w:val="left"/>
      </w:pPr>
      <w:r>
        <w:rPr>
          <w:rFonts w:ascii="Arial" w:cs="Arial" w:eastAsia="Arial" w:hAnsi="Arial"/>
          <w:b w:val="false"/>
          <w:bCs w:val="false"/>
          <w:color w:val="111111"/>
          <w:sz w:val="20"/>
          <w:szCs w:val="20"/>
        </w:rPr>
        <w:t xml:space="preserve">The following summarises the 12 functional modules defined in full technical detail in the Functionality Bible. This is provided for the co-founder's technical orientation — not as a substitute for the full specification.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400"/>
        <w:gridCol w:w="1626"/>
      </w:tblGrid>
      <w:tr>
        <w:trPr>
          <w:tblHeader/>
        </w:trPr>
        <w:tc>
          <w:tcPr>
            <w:tcW w:type="dxa" w:w="6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Module</w:t>
            </w:r>
          </w:p>
        </w:tc>
        <w:tc>
          <w:tcPr>
            <w:tcW w:type="dxa" w:w="2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Name</w:t>
            </w:r>
          </w:p>
        </w:tc>
        <w:tc>
          <w:tcPr>
            <w:tcW w:type="dxa" w:w="4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Core Function</w:t>
            </w:r>
          </w:p>
        </w:tc>
        <w:tc>
          <w:tcPr>
            <w:tcW w:type="dxa" w:w="1626"/>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Sprint</w:t>
            </w:r>
          </w:p>
        </w:tc>
      </w:tr>
      <w:tr>
        <w:tc>
          <w:tcPr>
            <w:tcW w:type="dxa" w:w="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w:t>
            </w:r>
          </w:p>
        </w:tc>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Auth, Firms, Users, Permissions</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Multi-tenant auth, role-based access (6 roles), invitation flow, branch structure</w:t>
            </w:r>
          </w:p>
        </w:tc>
        <w:tc>
          <w:tcPr>
            <w:tcW w:type="dxa" w:w="1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1</w:t>
            </w:r>
          </w:p>
        </w:tc>
      </w:tr>
      <w:tr>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B</w:t>
            </w:r>
          </w:p>
        </w:tc>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CRM and Contact Management</w:t>
            </w:r>
          </w:p>
        </w:tc>
        <w:tc>
          <w:tcPr>
            <w:tcW w:type="dxa" w:w="4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Client records, organisation contacts, full-text search, repeat-client history</w:t>
            </w:r>
          </w:p>
        </w:tc>
        <w:tc>
          <w:tcPr>
            <w:tcW w:type="dxa" w:w="1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w:t>
            </w:r>
          </w:p>
        </w:tc>
      </w:tr>
      <w:tr>
        <w:tc>
          <w:tcPr>
            <w:tcW w:type="dxa" w:w="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w:t>
            </w:r>
          </w:p>
        </w:tc>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Property Registry</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Subject property database with tenure types (including SRoO/customary), case history</w:t>
            </w:r>
          </w:p>
        </w:tc>
        <w:tc>
          <w:tcPr>
            <w:tcW w:type="dxa" w:w="1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w:t>
            </w:r>
          </w:p>
        </w:tc>
      </w:tr>
      <w:tr>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D</w:t>
            </w:r>
          </w:p>
        </w:tc>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Case / Instruction Management</w:t>
            </w:r>
          </w:p>
        </w:tc>
        <w:tc>
          <w:tcPr>
            <w:tcW w:type="dxa" w:w="4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13-stage pipeline with server-enforced transitions, auto-generated references, overdue flag</w:t>
            </w:r>
          </w:p>
        </w:tc>
        <w:tc>
          <w:tcPr>
            <w:tcW w:type="dxa" w:w="1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3</w:t>
            </w:r>
          </w:p>
        </w:tc>
      </w:tr>
      <w:tr>
        <w:tc>
          <w:tcPr>
            <w:tcW w:type="dxa" w:w="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E</w:t>
            </w:r>
          </w:p>
        </w:tc>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Inspection Workflow</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Mobile-first structured inspection, per-section photos, offline save + sync, submission gate</w:t>
            </w:r>
          </w:p>
        </w:tc>
        <w:tc>
          <w:tcPr>
            <w:tcW w:type="dxa" w:w="1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4</w:t>
            </w:r>
          </w:p>
        </w:tc>
      </w:tr>
      <w:tr>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w:t>
            </w:r>
          </w:p>
        </w:tc>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Comparable Evidence Engine</w:t>
            </w:r>
          </w:p>
        </w:tc>
        <w:tc>
          <w:tcPr>
            <w:tcW w:type="dxa" w:w="4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Firm-wide searchable comparable library, CSV import, case-level relevance scoring</w:t>
            </w:r>
          </w:p>
        </w:tc>
        <w:tc>
          <w:tcPr>
            <w:tcW w:type="dxa" w:w="1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5</w:t>
            </w:r>
          </w:p>
        </w:tc>
      </w:tr>
      <w:tr>
        <w:tc>
          <w:tcPr>
            <w:tcW w:type="dxa" w:w="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G</w:t>
            </w:r>
          </w:p>
        </w:tc>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Valuation Workbench</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Method selection, side-by-side comparable grid, structured assumptions, concluded value</w:t>
            </w:r>
          </w:p>
        </w:tc>
        <w:tc>
          <w:tcPr>
            <w:tcW w:type="dxa" w:w="1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6a</w:t>
            </w:r>
          </w:p>
        </w:tc>
      </w:tr>
      <w:tr>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H</w:t>
            </w:r>
          </w:p>
        </w:tc>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Report Generator</w:t>
            </w:r>
          </w:p>
        </w:tc>
        <w:tc>
          <w:tcPr>
            <w:tcW w:type="dxa" w:w="4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Handlebars templates, Prisma data merge, Puppeteer PDF via Trigger.dev, version history</w:t>
            </w:r>
          </w:p>
        </w:tc>
        <w:tc>
          <w:tcPr>
            <w:tcW w:type="dxa" w:w="1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6b</w:t>
            </w:r>
          </w:p>
        </w:tc>
      </w:tr>
      <w:tr>
        <w:tc>
          <w:tcPr>
            <w:tcW w:type="dxa" w:w="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I</w:t>
            </w:r>
          </w:p>
        </w:tc>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Review, QA and Compliance</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Reviewer comments with blocking severity, approval gates, immutable audit log</w:t>
            </w:r>
          </w:p>
        </w:tc>
        <w:tc>
          <w:tcPr>
            <w:tcW w:type="dxa" w:w="1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7</w:t>
            </w:r>
          </w:p>
        </w:tc>
      </w:tr>
      <w:tr>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J</w:t>
            </w:r>
          </w:p>
        </w:tc>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Billing and Finance</w:t>
            </w:r>
          </w:p>
        </w:tc>
        <w:tc>
          <w:tcPr>
            <w:tcW w:type="dxa" w:w="4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Invoice generation from case, stage auto-advance on payment, revenue dashboard</w:t>
            </w:r>
          </w:p>
        </w:tc>
        <w:tc>
          <w:tcPr>
            <w:tcW w:type="dxa" w:w="1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8</w:t>
            </w:r>
          </w:p>
        </w:tc>
      </w:tr>
      <w:tr>
        <w:tc>
          <w:tcPr>
            <w:tcW w:type="dxa" w:w="6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K</w:t>
            </w:r>
          </w:p>
        </w:tc>
        <w:tc>
          <w:tcPr>
            <w:tcW w:type="dxa" w:w="2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Dashboard and Analytics</w:t>
            </w:r>
          </w:p>
        </w:tc>
        <w:tc>
          <w:tcPr>
            <w:tcW w:type="dxa" w:w="4400"/>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Role-aware dashboards, Redis-cached aggregates, turnaround metrics</w:t>
            </w:r>
          </w:p>
        </w:tc>
        <w:tc>
          <w:tcPr>
            <w:tcW w:type="dxa" w:w="1626"/>
            <w:tcBorders>
              <w:top w:val="single" w:color="C8D0D8" w:sz="1"/>
              <w:left w:val="single" w:color="C8D0D8" w:sz="1"/>
              <w:bottom w:val="single" w:color="C8D0D8" w:sz="1"/>
              <w:right w:val="single" w:color="C8D0D8"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2+</w:t>
            </w:r>
          </w:p>
        </w:tc>
      </w:tr>
      <w:tr>
        <w:tc>
          <w:tcPr>
            <w:tcW w:type="dxa" w:w="6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L</w:t>
            </w:r>
          </w:p>
        </w:tc>
        <w:tc>
          <w:tcPr>
            <w:tcW w:type="dxa" w:w="2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Document Management</w:t>
            </w:r>
          </w:p>
        </w:tc>
        <w:tc>
          <w:tcPr>
            <w:tcW w:type="dxa" w:w="4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Case/property/client-linked file library, presigned S3, full-text search</w:t>
            </w:r>
          </w:p>
        </w:tc>
        <w:tc>
          <w:tcPr>
            <w:tcW w:type="dxa" w:w="1626"/>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9"/>
                <w:szCs w:val="19"/>
              </w:rPr>
              <w:t xml:space="preserve">8</w:t>
            </w:r>
          </w:p>
        </w:tc>
      </w:tr>
    </w:tbl>
    <w:p>
      <w:pPr>
        <w:spacing w:before="120" w:after="0"/>
      </w:pPr>
    </w:p>
    <w:p>
      <w:pPr>
        <w:pStyle w:val="Heading2"/>
        <w:spacing w:before="320" w:after="120"/>
      </w:pPr>
      <w:r>
        <w:rPr>
          <w:rFonts w:ascii="Arial" w:cs="Arial" w:eastAsia="Arial" w:hAnsi="Arial"/>
          <w:b/>
          <w:bCs/>
          <w:color w:val="0F2D4A"/>
          <w:sz w:val="26"/>
          <w:szCs w:val="26"/>
        </w:rPr>
        <w:t xml:space="preserve">7.1 Database at a Glance</w:t>
      </w:r>
    </w:p>
    <w:p>
      <w:pPr>
        <w:spacing w:before="80" w:after="80"/>
        <w:jc w:val="left"/>
      </w:pPr>
      <w:r>
        <w:rPr>
          <w:rFonts w:ascii="Arial" w:cs="Arial" w:eastAsia="Arial" w:hAnsi="Arial"/>
          <w:b w:val="false"/>
          <w:bCs w:val="false"/>
          <w:color w:val="111111"/>
          <w:sz w:val="20"/>
          <w:szCs w:val="20"/>
        </w:rPr>
        <w:t xml:space="preserve">The full Prisma schema is documented in the Functionality Bible (Section 6). The schema consists of 21 models covering all core entities. Key design decisions:</w:t>
      </w:r>
    </w:p>
    <w:p>
      <w:pPr>
        <w:pStyle w:val="ListParagraph"/>
        <w:numPr>
          <w:ilvl w:val="0"/>
          <w:numId w:val="2"/>
        </w:numPr>
        <w:spacing w:before="60" w:after="60"/>
      </w:pPr>
      <w:r>
        <w:rPr>
          <w:rFonts w:ascii="Arial" w:cs="Arial" w:eastAsia="Arial" w:hAnsi="Arial"/>
          <w:color w:val="111111"/>
          <w:sz w:val="20"/>
          <w:szCs w:val="20"/>
        </w:rPr>
        <w:t xml:space="preserve">UUID primary keys throughout</w:t>
      </w:r>
    </w:p>
    <w:p>
      <w:pPr>
        <w:pStyle w:val="ListParagraph"/>
        <w:numPr>
          <w:ilvl w:val="0"/>
          <w:numId w:val="2"/>
        </w:numPr>
        <w:spacing w:before="60" w:after="60"/>
      </w:pPr>
      <w:r>
        <w:rPr>
          <w:rFonts w:ascii="Arial" w:cs="Arial" w:eastAsia="Arial" w:hAnsi="Arial"/>
          <w:color w:val="111111"/>
          <w:sz w:val="20"/>
          <w:szCs w:val="20"/>
        </w:rPr>
        <w:t xml:space="preserve">All tenant-scoped models carry firmId — enforced at application layer via tenantPrisma wrapper</w:t>
      </w:r>
    </w:p>
    <w:p>
      <w:pPr>
        <w:pStyle w:val="ListParagraph"/>
        <w:numPr>
          <w:ilvl w:val="0"/>
          <w:numId w:val="2"/>
        </w:numPr>
        <w:spacing w:before="60" w:after="60"/>
      </w:pPr>
      <w:r>
        <w:rPr>
          <w:rFonts w:ascii="Arial" w:cs="Arial" w:eastAsia="Arial" w:hAnsi="Arial"/>
          <w:color w:val="111111"/>
          <w:sz w:val="20"/>
          <w:szCs w:val="20"/>
        </w:rPr>
        <w:t xml:space="preserve">PostgreSQL tsvector generated columns for full-text search on clients, properties, and comparables</w:t>
      </w:r>
    </w:p>
    <w:p>
      <w:pPr>
        <w:pStyle w:val="ListParagraph"/>
        <w:numPr>
          <w:ilvl w:val="0"/>
          <w:numId w:val="2"/>
        </w:numPr>
        <w:spacing w:before="60" w:after="60"/>
      </w:pPr>
      <w:r>
        <w:rPr>
          <w:rFonts w:ascii="Arial" w:cs="Arial" w:eastAsia="Arial" w:hAnsi="Arial"/>
          <w:color w:val="111111"/>
          <w:sz w:val="20"/>
          <w:szCs w:val="20"/>
        </w:rPr>
        <w:t xml:space="preserve">JSONB columns for flexible structured data — assumptions, offline inspection drafts, audit log values</w:t>
      </w:r>
    </w:p>
    <w:p>
      <w:pPr>
        <w:pStyle w:val="ListParagraph"/>
        <w:numPr>
          <w:ilvl w:val="0"/>
          <w:numId w:val="2"/>
        </w:numPr>
        <w:spacing w:before="60" w:after="60"/>
      </w:pPr>
      <w:r>
        <w:rPr>
          <w:rFonts w:ascii="Arial" w:cs="Arial" w:eastAsia="Arial" w:hAnsi="Arial"/>
          <w:color w:val="111111"/>
          <w:sz w:val="20"/>
          <w:szCs w:val="20"/>
        </w:rPr>
        <w:t xml:space="preserve">Soft deletes via deletedAt on all user-facing records</w:t>
      </w:r>
    </w:p>
    <w:p>
      <w:pPr>
        <w:pStyle w:val="ListParagraph"/>
        <w:numPr>
          <w:ilvl w:val="0"/>
          <w:numId w:val="2"/>
        </w:numPr>
        <w:spacing w:before="60" w:after="60"/>
      </w:pPr>
      <w:r>
        <w:rPr>
          <w:rFonts w:ascii="Arial" w:cs="Arial" w:eastAsia="Arial" w:hAnsi="Arial"/>
          <w:color w:val="111111"/>
          <w:sz w:val="20"/>
          <w:szCs w:val="20"/>
        </w:rPr>
        <w:t xml:space="preserve">Immutable audit_logs table — no UPDATE or DELETE exposed at application level</w:t>
      </w:r>
    </w:p>
    <w:p>
      <w:pPr>
        <w:pStyle w:val="ListParagraph"/>
        <w:numPr>
          <w:ilvl w:val="0"/>
          <w:numId w:val="2"/>
        </w:numPr>
        <w:spacing w:before="60" w:after="60"/>
      </w:pPr>
      <w:r>
        <w:rPr>
          <w:rFonts w:ascii="Arial" w:cs="Arial" w:eastAsia="Arial" w:hAnsi="Arial"/>
          <w:color w:val="111111"/>
          <w:sz w:val="20"/>
          <w:szCs w:val="20"/>
        </w:rPr>
        <w:t xml:space="preserve">Computed isOverdue column on cases — updated by daily Trigger.dev scheduled job</w:t>
      </w:r>
    </w:p>
    <w:p>
      <w:r>
        <w:br w:type="page"/>
      </w:r>
    </w:p>
    <w:p>
      <w:pPr>
        <w:pStyle w:val="Heading1"/>
        <w:spacing w:before="480" w:after="160"/>
      </w:pPr>
      <w:r>
        <w:rPr>
          <w:rFonts w:ascii="Arial" w:cs="Arial" w:eastAsia="Arial" w:hAnsi="Arial"/>
          <w:b/>
          <w:bCs/>
          <w:color w:val="0F2D4A"/>
          <w:sz w:val="34"/>
          <w:szCs w:val="34"/>
        </w:rPr>
        <w:t xml:space="preserve">8. Closing Statement</w:t>
      </w:r>
    </w:p>
    <w:p>
      <w:pPr>
        <w:spacing w:before="80" w:after="80"/>
        <w:jc w:val="left"/>
      </w:pPr>
      <w:r>
        <w:rPr>
          <w:rFonts w:ascii="Arial" w:cs="Arial" w:eastAsia="Arial" w:hAnsi="Arial"/>
          <w:b w:val="false"/>
          <w:bCs w:val="false"/>
          <w:color w:val="111111"/>
          <w:sz w:val="20"/>
          <w:szCs w:val="20"/>
        </w:rPr>
        <w:t xml:space="preserve">Valuation OS is not a speculative idea. It is a fully specified product with a complete technical blueprint, a clear market, no direct competitor, and a defensible long-term data strategy.</w:t>
      </w:r>
    </w:p>
    <w:p>
      <w:pPr>
        <w:spacing w:before="80" w:after="0"/>
      </w:pPr>
    </w:p>
    <w:p>
      <w:pPr>
        <w:spacing w:before="80" w:after="80"/>
        <w:jc w:val="left"/>
      </w:pPr>
      <w:r>
        <w:rPr>
          <w:rFonts w:ascii="Arial" w:cs="Arial" w:eastAsia="Arial" w:hAnsi="Arial"/>
          <w:b w:val="false"/>
          <w:bCs w:val="false"/>
          <w:color w:val="111111"/>
          <w:sz w:val="20"/>
          <w:szCs w:val="20"/>
        </w:rPr>
        <w:t xml:space="preserve">The market timing is right. Nigerian valuation firms are growing, client expectations around documentation and audit trails are rising, and mobile infrastructure in the key urban centres is mature enough to support the product. The comparable data moat means that the first serious platform to achieve meaningful adoption becomes progressively harder to displace.</w:t>
      </w:r>
    </w:p>
    <w:p>
      <w:pPr>
        <w:spacing w:before="80" w:after="0"/>
      </w:pPr>
    </w:p>
    <w:p>
      <w:pPr>
        <w:spacing w:before="80" w:after="80"/>
        <w:jc w:val="left"/>
      </w:pPr>
      <w:r>
        <w:rPr>
          <w:rFonts w:ascii="Arial" w:cs="Arial" w:eastAsia="Arial" w:hAnsi="Arial"/>
          <w:b w:val="false"/>
          <w:bCs w:val="false"/>
          <w:color w:val="111111"/>
          <w:sz w:val="20"/>
          <w:szCs w:val="20"/>
        </w:rPr>
        <w:t xml:space="preserve">What is needed now is the right technical partner — someone who can own the engineering from architecture to deployment, contribute at co-founder level, and share the conviction that this product has a meaningful place in the Nigerian professional services landscape.</w:t>
      </w:r>
    </w:p>
    <w:p>
      <w:pPr>
        <w:spacing w:before="80" w:after="0"/>
      </w:pPr>
    </w:p>
    <w:p>
      <w:pPr>
        <w:spacing w:before="80" w:after="80"/>
        <w:jc w:val="left"/>
      </w:pPr>
      <w:r>
        <w:rPr>
          <w:rFonts w:ascii="Arial" w:cs="Arial" w:eastAsia="Arial" w:hAnsi="Arial"/>
          <w:b w:val="false"/>
          <w:bCs w:val="false"/>
          <w:color w:val="111111"/>
          <w:sz w:val="20"/>
          <w:szCs w:val="20"/>
        </w:rPr>
        <w:t xml:space="preserve">The full technical specification is available in the Functionality Bible v3.0. The next step is a conversation.</w:t>
      </w:r>
    </w:p>
    <w:p>
      <w:pPr>
        <w:spacing w:before="160" w:after="0"/>
      </w:pPr>
    </w:p>
    <w:p>
      <w:pPr>
        <w:pBdr>
          <w:bottom w:val="single" w:color="0F2D4A" w:sz="6" w:space="1"/>
        </w:pBdr>
        <w:spacing w:before="240" w:after="240"/>
      </w:pPr>
    </w:p>
    <w:p>
      <w:pPr>
        <w:spacing w:before="80" w:after="0"/>
      </w:pPr>
    </w:p>
    <w:p>
      <w:pPr>
        <w:spacing w:before="80" w:after="80"/>
        <w:jc w:val="left"/>
      </w:pPr>
      <w:r>
        <w:rPr>
          <w:rFonts w:ascii="Arial" w:cs="Arial" w:eastAsia="Arial" w:hAnsi="Arial"/>
          <w:b/>
          <w:bCs/>
          <w:color w:val="111111"/>
          <w:sz w:val="20"/>
          <w:szCs w:val="20"/>
        </w:rPr>
        <w:t xml:space="preserve">Michael Adeleye</w:t>
      </w:r>
    </w:p>
    <w:p>
      <w:pPr>
        <w:spacing w:before="80" w:after="80"/>
        <w:jc w:val="left"/>
      </w:pPr>
      <w:r>
        <w:rPr>
          <w:rFonts w:ascii="Arial" w:cs="Arial" w:eastAsia="Arial" w:hAnsi="Arial"/>
          <w:b w:val="false"/>
          <w:bCs w:val="false"/>
          <w:color w:val="52606E"/>
          <w:sz w:val="20"/>
          <w:szCs w:val="20"/>
        </w:rPr>
        <w:t xml:space="preserve">Founder — Paradigm Shift Multimedia Ltd (Company No. 17048990)</w:t>
      </w:r>
    </w:p>
    <w:p>
      <w:pPr>
        <w:spacing w:before="80" w:after="80"/>
        <w:jc w:val="left"/>
      </w:pPr>
      <w:r>
        <w:rPr>
          <w:rFonts w:ascii="Arial" w:cs="Arial" w:eastAsia="Arial" w:hAnsi="Arial"/>
          <w:b w:val="false"/>
          <w:bCs w:val="false"/>
          <w:color w:val="52606E"/>
          <w:sz w:val="20"/>
          <w:szCs w:val="20"/>
        </w:rPr>
        <w:t xml:space="preserve">Valuation OS</w:t>
      </w:r>
    </w:p>
    <w:p>
      <w:pPr>
        <w:spacing w:before="80" w:after="80"/>
        <w:jc w:val="left"/>
      </w:pPr>
      <w:r>
        <w:rPr>
          <w:rFonts w:ascii="Arial" w:cs="Arial" w:eastAsia="Arial" w:hAnsi="Arial"/>
          <w:b w:val="false"/>
          <w:bCs w:val="false"/>
          <w:color w:val="52606E"/>
          <w:sz w:val="20"/>
          <w:szCs w:val="20"/>
        </w:rPr>
        <w:t xml:space="preserve">March 2026</w:t>
      </w:r>
    </w:p>
    <w:p>
      <w:pPr>
        <w:spacing w:before="40" w:after="0"/>
      </w:pPr>
    </w:p>
    <w:p>
      <w:pPr>
        <w:spacing w:before="80" w:after="80"/>
        <w:jc w:val="left"/>
      </w:pPr>
      <w:r>
        <w:rPr>
          <w:rFonts w:ascii="Arial" w:cs="Arial" w:eastAsia="Arial" w:hAnsi="Arial"/>
          <w:b w:val="false"/>
          <w:bCs w:val="false"/>
          <w:color w:val="52606E"/>
          <w:sz w:val="20"/>
          <w:szCs w:val="20"/>
        </w:rPr>
        <w:t xml:space="preserve">mikeadeleye.dev  ·  @CreativeMike</w:t>
      </w:r>
    </w:p>
    <w:p>
      <w:pPr>
        <w:spacing w:before="160" w:after="0"/>
      </w:pPr>
    </w:p>
    <w:p>
      <w:pPr>
        <w:shd w:fill="D6E8F5" w:val="clear"/>
        <w:spacing w:before="120" w:after="120"/>
      </w:pPr>
      <w:r>
        <w:rPr>
          <w:rFonts w:ascii="Arial" w:cs="Arial" w:eastAsia="Arial" w:hAnsi="Arial"/>
          <w:b/>
          <w:bCs/>
          <w:color w:val="0F2D4A"/>
          <w:sz w:val="18"/>
          <w:szCs w:val="18"/>
        </w:rPr>
        <w:t xml:space="preserve">  ℹ  Appendix: Full technical specification available on request — Functionality Bible v3.0 (2,600+ lines), covering all 12 modules, complete Prisma schema, all API endpoints, business logic rules, performance targets, and sprint-level exit criteria.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8" w:sz="2" w:space="1"/>
      </w:pBdr>
      <w:tabs>
        <w:tab w:val="right" w:pos="9026"/>
      </w:tabs>
      <w:spacing w:before="160" w:after="0"/>
    </w:pPr>
    <w:r>
      <w:rPr>
        <w:rFonts w:ascii="Arial" w:cs="Arial" w:eastAsia="Arial" w:hAnsi="Arial"/>
        <w:color w:val="52606E"/>
        <w:sz w:val="16"/>
        <w:szCs w:val="16"/>
      </w:rPr>
      <w:t xml:space="preserve">Paradigm Shift Multimedia Ltd  ·  March 2026</w:t>
    </w:r>
    <w:r>
      <w:rPr>
        <w:rFonts w:ascii="Arial" w:cs="Arial" w:eastAsia="Arial" w:hAnsi="Arial"/>
        <w:sz w:val="16"/>
        <w:szCs w:val="16"/>
      </w:rPr>
      <w:t xml:space="preserve">	</w:t>
    </w:r>
    <w:r>
      <w:rPr>
        <w:rFonts w:ascii="Arial" w:cs="Arial" w:eastAsia="Arial" w:hAnsi="Arial"/>
        <w:color w:val="52606E"/>
        <w:sz w:val="16"/>
        <w:szCs w:val="16"/>
      </w:rPr>
      <w:t xml:space="preserve">Page </w:t>
    </w:r>
    <w:r>
      <w:rPr>
        <w:rFonts w:ascii="Arial" w:cs="Arial" w:eastAsia="Arial" w:hAnsi="Arial"/>
        <w:color w:val="5260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4A" w:sz="4" w:space="1"/>
      </w:pBdr>
      <w:tabs>
        <w:tab w:val="right" w:pos="9026"/>
      </w:tabs>
      <w:spacing w:before="0" w:after="160"/>
    </w:pPr>
    <w:r>
      <w:rPr>
        <w:rFonts w:ascii="Arial" w:cs="Arial" w:eastAsia="Arial" w:hAnsi="Arial"/>
        <w:b/>
        <w:bCs/>
        <w:color w:val="0F2D4A"/>
        <w:sz w:val="18"/>
        <w:szCs w:val="18"/>
      </w:rPr>
      <w:t xml:space="preserve">Valuation OS — Feasibility Report</w:t>
    </w:r>
    <w:r>
      <w:rPr>
        <w:rFonts w:ascii="Arial" w:cs="Arial" w:eastAsia="Arial" w:hAnsi="Arial"/>
        <w:sz w:val="18"/>
        <w:szCs w:val="18"/>
      </w:rPr>
      <w:t xml:space="preserve">	</w:t>
    </w:r>
    <w:r>
      <w:rPr>
        <w:rFonts w:ascii="Arial" w:cs="Arial" w:eastAsia="Arial" w:hAnsi="Arial"/>
        <w:color w:val="52606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2D4A"/>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0F2D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2026-03-29T14:11:27.411Z</dcterms:created>
  <dcterms:modified xsi:type="dcterms:W3CDTF">2026-03-29T14:11:27.412Z</dcterms:modified>
</cp:coreProperties>
</file>

<file path=docProps/custom.xml><?xml version="1.0" encoding="utf-8"?>
<Properties xmlns="http://schemas.openxmlformats.org/officeDocument/2006/custom-properties" xmlns:vt="http://schemas.openxmlformats.org/officeDocument/2006/docPropsVTypes"/>
</file>