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40" w:before="0"/>
        <w:jc w:val="center"/>
      </w:pPr>
      <w:r>
        <w:drawing>
          <wp:inline distT="0" distB="0" distL="0" distR="0">
            <wp:extent cx="3048000" cy="800100"/>
            <wp:effectExtent t="0" r="0" b="0" l="0"/>
            <wp:docPr id="1" name="DealDesk" descr="DealDesk logo" title="DealDesk CRE Under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800100"/>
                    </a:xfrm>
                    <a:prstGeom prst="rect">
                      <a:avLst/>
                    </a:prstGeom>
                  </pic:spPr>
                </pic:pic>
              </a:graphicData>
            </a:graphic>
          </wp:inline>
        </w:drawing>
      </w:r>
    </w:p>
    <w:p>
      <w:pPr>
        <w:spacing w:after="180" w:before="0"/>
        <w:jc w:val="center"/>
      </w:pPr>
      <w:r>
        <w:rPr>
          <w:rFonts w:ascii="Century Gothic" w:cs="Century Gothic" w:eastAsia="Century Gothic" w:hAnsi="Century Gothic"/>
          <w:b w:val="false"/>
          <w:bCs w:val="false"/>
          <w:i w:val="false"/>
          <w:iCs w:val="false"/>
          <w:color w:val="8B7355"/>
          <w:sz w:val="18"/>
          <w:szCs w:val="18"/>
        </w:rPr>
        <w:t xml:space="preserve">CRE Underwriting  ·  Powered by AI</w:t>
      </w:r>
    </w:p>
    <w:p>
      <w:pPr>
        <w:spacing w:after="120" w:before="0"/>
      </w:pPr>
    </w:p>
    <w:p>
      <w:pPr>
        <w:pBdr>
          <w:bottom w:val="single" w:color="4A6E50" w:sz="18" w:space="6"/>
        </w:pBdr>
        <w:spacing w:after="0" w:before="0"/>
      </w:pPr>
    </w:p>
    <w:p>
      <w:pPr>
        <w:spacing w:after="80" w:before="0"/>
      </w:pPr>
    </w:p>
    <w:p>
      <w:pPr>
        <w:spacing w:after="80" w:before="0"/>
        <w:jc w:val="center"/>
      </w:pPr>
      <w:r>
        <w:rPr>
          <w:rFonts w:ascii="Century Gothic" w:cs="Century Gothic" w:eastAsia="Century Gothic" w:hAnsi="Century Gothic"/>
          <w:b/>
          <w:bCs/>
          <w:i w:val="false"/>
          <w:iCs w:val="false"/>
          <w:color w:val="2C1F14"/>
          <w:sz w:val="52"/>
          <w:szCs w:val="52"/>
        </w:rPr>
        <w:t xml:space="preserve">{{ report_title }}</w:t>
      </w:r>
    </w:p>
    <w:p>
      <w:pPr>
        <w:spacing w:after="40" w:before="0"/>
      </w:pPr>
    </w:p>
    <w:p>
      <w:pPr>
        <w:spacing w:after="60" w:before="0"/>
        <w:jc w:val="center"/>
      </w:pPr>
      <w:r>
        <w:rPr>
          <w:rFonts w:ascii="Century Gothic" w:cs="Century Gothic" w:eastAsia="Century Gothic" w:hAnsi="Century Gothic"/>
          <w:color w:val="5C3D26"/>
          <w:sz w:val="22"/>
          <w:szCs w:val="22"/>
          <w:highlight w:val="yellow"/>
        </w:rPr>
        <w:t xml:space="preserve">{{ property_name }}</w:t>
      </w:r>
    </w:p>
    <w:p>
      <w:pPr>
        <w:spacing w:after="60" w:before="0"/>
        <w:jc w:val="center"/>
      </w:pPr>
      <w:r>
        <w:rPr>
          <w:rFonts w:ascii="Century Gothic" w:cs="Century Gothic" w:eastAsia="Century Gothic" w:hAnsi="Century Gothic"/>
          <w:color w:val="5C3D26"/>
          <w:sz w:val="22"/>
          <w:szCs w:val="22"/>
          <w:highlight w:val="yellow"/>
        </w:rPr>
        <w:t xml:space="preserve">{{ full_address }}</w:t>
      </w:r>
    </w:p>
    <w:p>
      <w:pPr>
        <w:spacing w:after="120" w:before="0"/>
        <w:jc w:val="center"/>
      </w:pPr>
      <w:r>
        <w:rPr>
          <w:rFonts w:ascii="Century Gothic" w:cs="Century Gothic" w:eastAsia="Century Gothic" w:hAnsi="Century Gothic"/>
          <w:color w:val="5C3D26"/>
          <w:sz w:val="22"/>
          <w:szCs w:val="22"/>
          <w:highlight w:val="yellow"/>
        </w:rPr>
        <w:t xml:space="preserve">{{ deal_type }}</w:t>
      </w:r>
    </w:p>
    <w:p>
      <w:pPr>
        <w:pBdr>
          <w:bottom w:val="single" w:color="4A6E50" w:sz="18" w:space="6"/>
        </w:pBdr>
        <w:spacing w:after="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060"/>
        <w:gridCol w:w="1620"/>
        <w:gridCol w:w="3060"/>
      </w:tblGrid>
      <w:tr>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80"/>
            </w:tcMar>
          </w:tcPr>
          <w:p>
            <w:r>
              <w:rPr>
                <w:rFonts w:ascii="Century Gothic" w:cs="Century Gothic" w:eastAsia="Century Gothic" w:hAnsi="Century Gothic"/>
                <w:b/>
                <w:bCs/>
                <w:i w:val="false"/>
                <w:iCs w:val="false"/>
                <w:color w:val="8B7355"/>
                <w:sz w:val="18"/>
                <w:szCs w:val="18"/>
              </w:rPr>
              <w:t xml:space="preserve">Asset Type</w:t>
            </w:r>
          </w:p>
        </w:tc>
        <w:tc>
          <w:tcPr>
            <w:tcW w:type="dxa" w:w="30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asset_type }}</w:t>
            </w:r>
          </w:p>
        </w:tc>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80"/>
            </w:tcMar>
          </w:tcPr>
          <w:p>
            <w:r>
              <w:rPr>
                <w:rFonts w:ascii="Century Gothic" w:cs="Century Gothic" w:eastAsia="Century Gothic" w:hAnsi="Century Gothic"/>
                <w:b/>
                <w:bCs/>
                <w:i w:val="false"/>
                <w:iCs w:val="false"/>
                <w:color w:val="8B7355"/>
                <w:sz w:val="18"/>
                <w:szCs w:val="18"/>
              </w:rPr>
              <w:t xml:space="preserve">Asking Price</w:t>
            </w:r>
          </w:p>
        </w:tc>
        <w:tc>
          <w:tcPr>
            <w:tcW w:type="dxa" w:w="30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asking_price }}</w:t>
            </w:r>
          </w:p>
        </w:tc>
      </w:tr>
      <w:tr>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80"/>
            </w:tcMar>
          </w:tcPr>
          <w:p>
            <w:r>
              <w:rPr>
                <w:rFonts w:ascii="Century Gothic" w:cs="Century Gothic" w:eastAsia="Century Gothic" w:hAnsi="Century Gothic"/>
                <w:b/>
                <w:bCs/>
                <w:i w:val="false"/>
                <w:iCs w:val="false"/>
                <w:color w:val="8B7355"/>
                <w:sz w:val="18"/>
                <w:szCs w:val="18"/>
              </w:rPr>
              <w:t xml:space="preserve">Zoning</w:t>
            </w:r>
          </w:p>
        </w:tc>
        <w:tc>
          <w:tcPr>
            <w:tcW w:type="dxa" w:w="30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zoning }}</w:t>
            </w:r>
          </w:p>
        </w:tc>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80"/>
            </w:tcMar>
          </w:tcPr>
          <w:p>
            <w:r>
              <w:rPr>
                <w:rFonts w:ascii="Century Gothic" w:cs="Century Gothic" w:eastAsia="Century Gothic" w:hAnsi="Century Gothic"/>
                <w:b/>
                <w:bCs/>
                <w:i w:val="false"/>
                <w:iCs w:val="false"/>
                <w:color w:val="8B7355"/>
                <w:sz w:val="18"/>
                <w:szCs w:val="18"/>
              </w:rPr>
              <w:t xml:space="preserve">Report Date</w:t>
            </w:r>
          </w:p>
        </w:tc>
        <w:tc>
          <w:tcPr>
            <w:tcW w:type="dxa" w:w="30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report_date }}</w:t>
            </w:r>
          </w:p>
        </w:tc>
      </w:tr>
      <w:tr>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80"/>
            </w:tcMar>
          </w:tcPr>
          <w:p>
            <w:r>
              <w:rPr>
                <w:rFonts w:ascii="Century Gothic" w:cs="Century Gothic" w:eastAsia="Century Gothic" w:hAnsi="Century Gothic"/>
                <w:b/>
                <w:bCs/>
                <w:i w:val="false"/>
                <w:iCs w:val="false"/>
                <w:color w:val="8B7355"/>
                <w:sz w:val="18"/>
                <w:szCs w:val="18"/>
              </w:rPr>
              <w:t xml:space="preserve">Deal Source</w:t>
            </w:r>
          </w:p>
        </w:tc>
        <w:tc>
          <w:tcPr>
            <w:tcW w:type="dxa" w:w="30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deal_source }}</w:t>
            </w:r>
          </w:p>
        </w:tc>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80"/>
            </w:tcMar>
          </w:tcPr>
          <w:p>
            <w:r>
              <w:rPr>
                <w:rFonts w:ascii="Century Gothic" w:cs="Century Gothic" w:eastAsia="Century Gothic" w:hAnsi="Century Gothic"/>
                <w:b/>
                <w:bCs/>
                <w:i w:val="false"/>
                <w:iCs w:val="false"/>
                <w:color w:val="8B7355"/>
                <w:sz w:val="18"/>
                <w:szCs w:val="18"/>
              </w:rPr>
              <w:t xml:space="preserve">Building SF</w:t>
            </w:r>
          </w:p>
        </w:tc>
        <w:tc>
          <w:tcPr>
            <w:tcW w:type="dxa" w:w="30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building_sf }}</w:t>
            </w:r>
          </w:p>
        </w:tc>
      </w:tr>
    </w:tbl>
    <w:p>
      <w:pPr>
        <w:spacing w:after="120" w:before="0"/>
      </w:pPr>
    </w:p>
    <w:p>
      <w:pPr>
        <w:spacing w:after="80" w:before="0"/>
        <w:jc w:val="center"/>
      </w:pPr>
      <w:r>
        <w:rPr>
          <w:rFonts w:ascii="Century Gothic" w:cs="Century Gothic" w:eastAsia="Century Gothic" w:hAnsi="Century Gothic"/>
          <w:b/>
          <w:bCs/>
          <w:i w:val="false"/>
          <w:iCs w:val="false"/>
          <w:color w:val="8B7355"/>
          <w:sz w:val="18"/>
          <w:szCs w:val="18"/>
        </w:rPr>
        <w:t xml:space="preserve">CONFIDENTIAL  —  FOR INTERNAL USE ONLY</w:t>
      </w:r>
    </w:p>
    <w:p>
      <w:pPr>
        <w:spacing w:after="200" w:before="0"/>
        <w:jc w:val="center"/>
      </w:pPr>
      <w:r>
        <w:rPr>
          <w:rFonts w:ascii="Century Gothic" w:cs="Century Gothic" w:eastAsia="Century Gothic" w:hAnsi="Century Gothic"/>
          <w:b w:val="false"/>
          <w:bCs w:val="false"/>
          <w:i w:val="false"/>
          <w:iCs w:val="false"/>
          <w:color w:val="8B7355"/>
          <w:sz w:val="20"/>
          <w:szCs w:val="20"/>
        </w:rPr>
        <w:t xml:space="preserve">Prepared </w:t>
      </w:r>
      <w:r>
        <w:rPr>
          <w:rFonts w:ascii="Century Gothic" w:cs="Century Gothic" w:eastAsia="Century Gothic" w:hAnsi="Century Gothic"/>
          <w:color w:val="5C3D26"/>
          <w:sz w:val="22"/>
          <w:szCs w:val="22"/>
          <w:highlight w:val="yellow"/>
        </w:rPr>
        <w:t xml:space="preserve">{{ report_date }}</w:t>
      </w:r>
    </w:p>
    <w:p>
      <w:r>
        <w:br/>
      </w:r>
    </w:p>
    <w:p>
      <w:pPr>
        <w:spacing w:after="120" w:before="0"/>
        <w:jc w:val="center"/>
      </w:pPr>
      <w:r>
        <w:rPr>
          <w:rFonts w:ascii="Century Gothic" w:cs="Century Gothic" w:eastAsia="Century Gothic" w:hAnsi="Century Gothic"/>
          <w:b/>
          <w:bCs/>
          <w:i w:val="false"/>
          <w:iCs w:val="false"/>
          <w:color w:val="2C1F14"/>
          <w:sz w:val="28"/>
          <w:szCs w:val="28"/>
        </w:rPr>
        <w:t xml:space="preserve">TABLE OF CONTENTS</w:t>
      </w:r>
    </w:p>
    <w:p>
      <w:pPr>
        <w:pBdr>
          <w:bottom w:val="single" w:color="4A6E50" w:sz="8" w:space="4"/>
        </w:pBdr>
        <w:spacing w:after="60" w:before="60"/>
      </w:pPr>
    </w:p>
    <w:p>
      <w:pPr>
        <w:spacing w:after="80" w:before="0"/>
      </w:pP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spacing w:after="80" w:before="0"/>
      </w:pPr>
    </w:p>
    <w:p>
      <w:pPr>
        <w:spacing w:after="200" w:before="0"/>
        <w:jc w:val="center"/>
      </w:pPr>
      <w:r>
        <w:rPr>
          <w:rFonts w:ascii="Century Gothic" w:cs="Century Gothic" w:eastAsia="Century Gothic" w:hAnsi="Century Gothic"/>
          <w:b w:val="false"/>
          <w:bCs w:val="false"/>
          <w:i/>
          <w:iCs/>
          <w:color w:val="8B7355"/>
          <w:sz w:val="18"/>
          <w:szCs w:val="18"/>
        </w:rPr>
        <w:t xml:space="preserve">Right-click the table above and select 'Update Field' to refresh page numbers.</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01</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EXECUTIVE SUMMARY</w:t>
      </w:r>
    </w:p>
    <w:p>
      <w:pPr>
        <w:spacing w:after="140" w:before="0"/>
        <w:jc w:val="both"/>
      </w:pPr>
      <w:r>
        <w:rPr>
          <w:rFonts w:ascii="Century Gothic" w:cs="Century Gothic" w:eastAsia="Century Gothic" w:hAnsi="Century Gothic"/>
          <w:color w:val="5C3D26"/>
          <w:sz w:val="22"/>
          <w:szCs w:val="22"/>
          <w:highlight w:val="yellow"/>
        </w:rPr>
        <w:t xml:space="preserve">{{ exec_overview_p1 }}</w:t>
      </w:r>
    </w:p>
    <w:p>
      <w:pPr>
        <w:spacing w:after="140" w:before="0"/>
        <w:jc w:val="both"/>
      </w:pPr>
      <w:r>
        <w:rPr>
          <w:rFonts w:ascii="Century Gothic" w:cs="Century Gothic" w:eastAsia="Century Gothic" w:hAnsi="Century Gothic"/>
          <w:color w:val="5C3D26"/>
          <w:sz w:val="22"/>
          <w:szCs w:val="22"/>
          <w:highlight w:val="yellow"/>
        </w:rPr>
        <w:t xml:space="preserve">{{ exec_overview_p2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A6E50" w:sz="20"/>
              <w:bottom w:val="none" w:color="FFFFFF" w:sz="0"/>
              <w:right w:val="none" w:color="FFFFFF" w:sz="0"/>
            </w:tcBorders>
            <w:shd w:fill="B2C9B4" w:val="clear"/>
            <w:tcMar>
              <w:top w:type="dxa" w:w="120"/>
              <w:left w:type="dxa" w:w="200"/>
              <w:bottom w:type="dxa" w:w="120"/>
              <w:right w:type="dxa" w:w="160"/>
            </w:tcMar>
          </w:tcPr>
          <w:p>
            <w:pPr>
              <w:spacing w:after="0" w:before="0"/>
            </w:pPr>
            <w:r>
              <w:rPr>
                <w:rFonts w:ascii="Century Gothic" w:cs="Century Gothic" w:eastAsia="Century Gothic" w:hAnsi="Century Gothic"/>
                <w:color w:val="5C3D26"/>
                <w:sz w:val="22"/>
                <w:szCs w:val="22"/>
                <w:highlight w:val="yellow"/>
              </w:rPr>
              <w:t xml:space="preserve">{{ exec_pullquote }}</w:t>
            </w:r>
          </w:p>
        </w:tc>
      </w:tr>
    </w:tbl>
    <w:p>
      <w:pPr>
        <w:spacing w:after="80" w:before="0"/>
      </w:pPr>
    </w:p>
    <w:p>
      <w:pPr>
        <w:spacing w:after="140" w:before="0"/>
        <w:jc w:val="both"/>
      </w:pPr>
      <w:r>
        <w:rPr>
          <w:rFonts w:ascii="Century Gothic" w:cs="Century Gothic" w:eastAsia="Century Gothic" w:hAnsi="Century Gothic"/>
          <w:color w:val="5C3D26"/>
          <w:sz w:val="22"/>
          <w:szCs w:val="22"/>
          <w:highlight w:val="yellow"/>
        </w:rPr>
        <w:t xml:space="preserve">{{ exec_overview_p3 }}</w:t>
      </w:r>
    </w:p>
    <w:p>
      <w:pPr>
        <w:spacing w:after="10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kpi_dashboard_image }}</w:t>
            </w:r>
          </w:p>
          <w:p>
            <w:pPr>
              <w:spacing w:after="0" w:before="0"/>
              <w:jc w:val="center"/>
            </w:pPr>
            <w:r>
              <w:rPr>
                <w:rFonts w:ascii="Century Gothic" w:cs="Century Gothic" w:eastAsia="Century Gothic" w:hAnsi="Century Gothic"/>
                <w:b w:val="false"/>
                <w:bCs w:val="false"/>
                <w:i/>
                <w:iCs/>
                <w:color w:val="8B7355"/>
                <w:sz w:val="18"/>
                <w:szCs w:val="18"/>
              </w:rPr>
              <w:t xml:space="preserve">KPI Dashboard — 12-metric traffic light grid (PASS / WATCH / FAIL status per metric)</w:t>
            </w:r>
          </w:p>
        </w:tc>
      </w:tr>
    </w:tbl>
    <w:p>
      <w:pPr>
        <w:spacing w:after="120" w:before="40"/>
      </w:pPr>
      <w:r>
        <w:rPr>
          <w:rFonts w:ascii="Century Gothic" w:cs="Century Gothic" w:eastAsia="Century Gothic" w:hAnsi="Century Gothic"/>
          <w:b w:val="false"/>
          <w:bCs w:val="false"/>
          <w:i/>
          <w:iCs/>
          <w:color w:val="8B7355"/>
          <w:sz w:val="18"/>
          <w:szCs w:val="18"/>
        </w:rPr>
        <w:t xml:space="preserve">Source: DealDesk Underwriting Model</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Deal Thesis</w:t>
      </w:r>
    </w:p>
    <w:p>
      <w:pPr>
        <w:spacing w:after="140" w:before="0"/>
        <w:jc w:val="both"/>
      </w:pPr>
      <w:r>
        <w:rPr>
          <w:rFonts w:ascii="Century Gothic" w:cs="Century Gothic" w:eastAsia="Century Gothic" w:hAnsi="Century Gothic"/>
          <w:color w:val="5C3D26"/>
          <w:sz w:val="22"/>
          <w:szCs w:val="22"/>
          <w:highlight w:val="yellow"/>
        </w:rPr>
        <w:t xml:space="preserve">{{ deal_thesis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Top Opportunities</w:t>
      </w:r>
    </w:p>
    <w:p>
      <w:pPr>
        <w:spacing w:after="80" w:before="0"/>
        <w:ind w:left="360"/>
      </w:pPr>
      <w:r>
        <w:rPr>
          <w:rFonts w:ascii="Century Gothic" w:cs="Century Gothic" w:eastAsia="Century Gothic" w:hAnsi="Century Gothic"/>
          <w:b/>
          <w:bCs/>
          <w:i w:val="false"/>
          <w:iCs w:val="false"/>
          <w:color w:val="4A6E50"/>
          <w:sz w:val="22"/>
          <w:szCs w:val="22"/>
        </w:rPr>
        <w:t xml:space="preserve">→  </w:t>
      </w:r>
      <w:r>
        <w:rPr>
          <w:rFonts w:ascii="Century Gothic" w:cs="Century Gothic" w:eastAsia="Century Gothic" w:hAnsi="Century Gothic"/>
          <w:color w:val="5C3D26"/>
          <w:sz w:val="22"/>
          <w:szCs w:val="22"/>
          <w:highlight w:val="yellow"/>
        </w:rPr>
        <w:t xml:space="preserve">{{ opportunity_1 }}</w:t>
      </w:r>
    </w:p>
    <w:p>
      <w:pPr>
        <w:spacing w:after="80" w:before="0"/>
        <w:ind w:left="360"/>
      </w:pPr>
      <w:r>
        <w:rPr>
          <w:rFonts w:ascii="Century Gothic" w:cs="Century Gothic" w:eastAsia="Century Gothic" w:hAnsi="Century Gothic"/>
          <w:b/>
          <w:bCs/>
          <w:i w:val="false"/>
          <w:iCs w:val="false"/>
          <w:color w:val="4A6E50"/>
          <w:sz w:val="22"/>
          <w:szCs w:val="22"/>
        </w:rPr>
        <w:t xml:space="preserve">→  </w:t>
      </w:r>
      <w:r>
        <w:rPr>
          <w:rFonts w:ascii="Century Gothic" w:cs="Century Gothic" w:eastAsia="Century Gothic" w:hAnsi="Century Gothic"/>
          <w:color w:val="5C3D26"/>
          <w:sz w:val="22"/>
          <w:szCs w:val="22"/>
          <w:highlight w:val="yellow"/>
        </w:rPr>
        <w:t xml:space="preserve">{{ opportunity_2 }}</w:t>
      </w:r>
    </w:p>
    <w:p>
      <w:pPr>
        <w:spacing w:after="80" w:before="0"/>
        <w:ind w:left="360"/>
      </w:pPr>
      <w:r>
        <w:rPr>
          <w:rFonts w:ascii="Century Gothic" w:cs="Century Gothic" w:eastAsia="Century Gothic" w:hAnsi="Century Gothic"/>
          <w:b/>
          <w:bCs/>
          <w:i w:val="false"/>
          <w:iCs w:val="false"/>
          <w:color w:val="4A6E50"/>
          <w:sz w:val="22"/>
          <w:szCs w:val="22"/>
        </w:rPr>
        <w:t xml:space="preserve">→  </w:t>
      </w:r>
      <w:r>
        <w:rPr>
          <w:rFonts w:ascii="Century Gothic" w:cs="Century Gothic" w:eastAsia="Century Gothic" w:hAnsi="Century Gothic"/>
          <w:color w:val="5C3D26"/>
          <w:sz w:val="22"/>
          <w:szCs w:val="22"/>
          <w:highlight w:val="yellow"/>
        </w:rPr>
        <w:t xml:space="preserve">{{ opportunity_3 }}</w:t>
      </w:r>
    </w:p>
    <w:p>
      <w:pPr>
        <w:spacing w:after="120" w:before="40"/>
      </w:pPr>
      <w:r>
        <w:rPr>
          <w:rFonts w:ascii="Century Gothic" w:cs="Century Gothic" w:eastAsia="Century Gothic" w:hAnsi="Century Gothic"/>
          <w:b w:val="false"/>
          <w:bCs w:val="false"/>
          <w:i/>
          <w:iCs/>
          <w:color w:val="8B7355"/>
          <w:sz w:val="18"/>
          <w:szCs w:val="18"/>
        </w:rPr>
        <w:t xml:space="preserve">Source: DealDesk proprietary analysis</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02</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PROPERTY PHOTO GALLERY &amp; VISUAL DOCUMENTATION</w:t>
      </w:r>
    </w:p>
    <w:p>
      <w:pPr>
        <w:spacing w:after="140" w:before="0"/>
        <w:jc w:val="both"/>
      </w:pPr>
      <w:r>
        <w:rPr>
          <w:rFonts w:ascii="Century Gothic" w:cs="Century Gothic" w:eastAsia="Century Gothic" w:hAnsi="Century Gothic"/>
          <w:color w:val="5C3D26"/>
          <w:sz w:val="22"/>
          <w:szCs w:val="22"/>
          <w:highlight w:val="yellow"/>
        </w:rPr>
        <w:t xml:space="preserve">{{ photo_gallery_intro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photo_gallery_hero }}</w:t>
            </w:r>
          </w:p>
          <w:p>
            <w:pPr>
              <w:spacing w:after="0" w:before="0"/>
              <w:jc w:val="center"/>
            </w:pPr>
            <w:r>
              <w:rPr>
                <w:rFonts w:ascii="Century Gothic" w:cs="Century Gothic" w:eastAsia="Century Gothic" w:hAnsi="Century Gothic"/>
                <w:b w:val="false"/>
                <w:bCs w:val="false"/>
                <w:i/>
                <w:iCs/>
                <w:color w:val="8B7355"/>
                <w:sz w:val="18"/>
                <w:szCs w:val="18"/>
              </w:rPr>
              <w:t xml:space="preserve">Hero Shot — primary exterior elevation (highest-confidence exterior_photo from image_placements.json)</w:t>
            </w:r>
          </w:p>
        </w:tc>
      </w:tr>
    </w:tbl>
    <w:p>
      <w:pPr>
        <w:spacing w:after="120" w:before="60"/>
        <w:jc w:val="center"/>
      </w:pPr>
      <w:r>
        <w:rPr>
          <w:rFonts w:ascii="Century Gothic" w:cs="Century Gothic" w:eastAsia="Century Gothic" w:hAnsi="Century Gothic"/>
          <w:b w:val="false"/>
          <w:bCs w:val="false"/>
          <w:i/>
          <w:iCs/>
          <w:color w:val="8B7355"/>
          <w:sz w:val="18"/>
          <w:szCs w:val="18"/>
        </w:rPr>
        <w:t xml:space="preserve">Figure 2.1 — Exterior Hero Shot  |  Source: </w:t>
      </w:r>
      <w:r>
        <w:rPr>
          <w:rFonts w:ascii="Century Gothic" w:cs="Century Gothic" w:eastAsia="Century Gothic" w:hAnsi="Century Gothic"/>
          <w:color w:val="5C3D26"/>
          <w:sz w:val="22"/>
          <w:szCs w:val="22"/>
          <w:highlight w:val="yellow"/>
        </w:rPr>
        <w:t xml:space="preserve">{{ photo_hero_source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photo_gallery_grid }}</w:t>
            </w:r>
          </w:p>
          <w:p>
            <w:pPr>
              <w:spacing w:after="0" w:before="0"/>
              <w:jc w:val="center"/>
            </w:pPr>
            <w:r>
              <w:rPr>
                <w:rFonts w:ascii="Century Gothic" w:cs="Century Gothic" w:eastAsia="Century Gothic" w:hAnsi="Century Gothic"/>
                <w:b w:val="false"/>
                <w:bCs w:val="false"/>
                <w:i/>
                <w:iCs/>
                <w:color w:val="8B7355"/>
                <w:sz w:val="18"/>
                <w:szCs w:val="18"/>
              </w:rPr>
              <w:t xml:space="preserve">Property Photo Gallery — 3×2 grid (exterior, interior, retail, aerial, roof deck). AI-classified from OM via Prompt 1A</w:t>
            </w:r>
          </w:p>
        </w:tc>
      </w:tr>
    </w:tbl>
    <w:p>
      <w:pPr>
        <w:spacing w:after="120" w:before="60"/>
        <w:jc w:val="center"/>
      </w:pPr>
      <w:r>
        <w:rPr>
          <w:rFonts w:ascii="Century Gothic" w:cs="Century Gothic" w:eastAsia="Century Gothic" w:hAnsi="Century Gothic"/>
          <w:b w:val="false"/>
          <w:bCs w:val="false"/>
          <w:i/>
          <w:iCs/>
          <w:color w:val="8B7355"/>
          <w:sz w:val="18"/>
          <w:szCs w:val="18"/>
        </w:rPr>
        <w:t xml:space="preserve">Figure 2.2 — Property Photo Gallery  |  Sources as captioned  |  AI-extracted via Prompt 1A</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Floor Plans</w:t>
      </w:r>
    </w:p>
    <w:p>
      <w:pPr>
        <w:spacing w:after="80" w:before="0"/>
      </w:pPr>
      <w:r>
        <w:rPr>
          <w:rFonts w:ascii="Century Gothic" w:cs="Century Gothic" w:eastAsia="Century Gothic" w:hAnsi="Century Gothic"/>
          <w:b w:val="false"/>
          <w:bCs w:val="false"/>
          <w:i/>
          <w:iCs/>
          <w:color w:val="8B7355"/>
          <w:sz w:val="20"/>
          <w:szCs w:val="20"/>
        </w:rPr>
        <w:t xml:space="preserve">Conditional block — renders only when </w:t>
      </w:r>
      <w:r>
        <w:rPr>
          <w:rFonts w:ascii="Century Gothic" w:cs="Century Gothic" w:eastAsia="Century Gothic" w:hAnsi="Century Gothic"/>
          <w:b/>
          <w:bCs/>
          <w:i w:val="false"/>
          <w:iCs w:val="false"/>
          <w:color w:val="4A6E50"/>
          <w:sz w:val="20"/>
          <w:szCs w:val="20"/>
        </w:rPr>
        <w:t xml:space="preserve">image_type == "floor_plan"</w:t>
      </w:r>
      <w:r>
        <w:rPr>
          <w:rFonts w:ascii="Century Gothic" w:cs="Century Gothic" w:eastAsia="Century Gothic" w:hAnsi="Century Gothic"/>
          <w:b w:val="false"/>
          <w:bCs w:val="false"/>
          <w:i/>
          <w:iCs/>
          <w:color w:val="8B7355"/>
          <w:sz w:val="20"/>
          <w:szCs w:val="20"/>
        </w:rPr>
        <w:t xml:space="preserve"> entries exist in image_placements.json. Omitted entirely if no floor plans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floor_plan_block }}</w:t>
            </w:r>
          </w:p>
          <w:p>
            <w:pPr>
              <w:spacing w:after="0" w:before="0"/>
              <w:jc w:val="center"/>
            </w:pPr>
            <w:r>
              <w:rPr>
                <w:rFonts w:ascii="Century Gothic" w:cs="Century Gothic" w:eastAsia="Century Gothic" w:hAnsi="Century Gothic"/>
                <w:b w:val="false"/>
                <w:bCs w:val="false"/>
                <w:i/>
                <w:iCs/>
                <w:color w:val="8B7355"/>
                <w:sz w:val="18"/>
                <w:szCs w:val="18"/>
              </w:rPr>
              <w:t xml:space="preserve">Floor Plan(s) — 1 plan=full width, 2=side-by-side, 3+=2-col grid. Extracted from OM via Prompt 1A</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2.3 — Floor Plans  |  Source: AI image classification (Prompt 1A)  |  DealDesk, </w:t>
      </w:r>
      <w:r>
        <w:rPr>
          <w:rFonts w:ascii="Century Gothic" w:cs="Century Gothic" w:eastAsia="Century Gothic" w:hAnsi="Century Gothic"/>
          <w:color w:val="5C3D26"/>
          <w:sz w:val="22"/>
          <w:szCs w:val="22"/>
          <w:highlight w:val="yellow"/>
        </w:rPr>
        <w:t xml:space="preserve">{{ report_date }}</w:t>
      </w:r>
    </w:p>
    <w:p>
      <w:pPr>
        <w:spacing w:after="120" w:before="40"/>
      </w:pPr>
      <w:r>
        <w:rPr>
          <w:rFonts w:ascii="Century Gothic" w:cs="Century Gothic" w:eastAsia="Century Gothic" w:hAnsi="Century Gothic"/>
          <w:b w:val="false"/>
          <w:bCs w:val="false"/>
          <w:i/>
          <w:iCs/>
          <w:color w:val="8B7355"/>
          <w:sz w:val="18"/>
          <w:szCs w:val="18"/>
        </w:rPr>
        <w:t xml:space="preserve">Source: Offering Memorandum (Prompt 1A image extraction)  |  Field photography  |  Google Street View Static API</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03</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MAPS &amp; GEOGRAPHIC CONTEXT</w:t>
      </w:r>
    </w:p>
    <w:p>
      <w:pPr>
        <w:spacing w:after="140" w:before="0"/>
        <w:jc w:val="both"/>
      </w:pPr>
      <w:r>
        <w:rPr>
          <w:rFonts w:ascii="Century Gothic" w:cs="Century Gothic" w:eastAsia="Century Gothic" w:hAnsi="Century Gothic"/>
          <w:color w:val="5C3D26"/>
          <w:sz w:val="22"/>
          <w:szCs w:val="22"/>
          <w:highlight w:val="yellow"/>
        </w:rPr>
        <w:t xml:space="preserve">{{ maps_intro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3.1  Aerial Location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aerial_map_image }}</w:t>
            </w:r>
          </w:p>
          <w:p>
            <w:pPr>
              <w:spacing w:after="0" w:before="0"/>
              <w:jc w:val="center"/>
            </w:pPr>
            <w:r>
              <w:rPr>
                <w:rFonts w:ascii="Century Gothic" w:cs="Century Gothic" w:eastAsia="Century Gothic" w:hAnsi="Century Gothic"/>
                <w:b w:val="false"/>
                <w:bCs w:val="false"/>
                <w:i/>
                <w:iCs/>
                <w:color w:val="8B7355"/>
                <w:sz w:val="18"/>
                <w:szCs w:val="18"/>
              </w:rPr>
              <w:t xml:space="preserve">Aerial Location Map — OpenStreetMap tile mosaic (3×3 grid, zoom 16), property pin at coordinates</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3.1 — Aerial Map  |  © OpenStreetMap contributors  |  Coordinates: </w:t>
      </w:r>
      <w:r>
        <w:rPr>
          <w:rFonts w:ascii="Century Gothic" w:cs="Century Gothic" w:eastAsia="Century Gothic" w:hAnsi="Century Gothic"/>
          <w:color w:val="5C3D26"/>
          <w:sz w:val="22"/>
          <w:szCs w:val="22"/>
          <w:highlight w:val="yellow"/>
        </w:rPr>
        <w:t xml:space="preserve">{{ coordinates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3.2  Neighborhood &amp; Submarket Context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neighborhood_map }}</w:t>
            </w:r>
          </w:p>
          <w:p>
            <w:pPr>
              <w:spacing w:after="0" w:before="0"/>
              <w:jc w:val="center"/>
            </w:pPr>
            <w:r>
              <w:rPr>
                <w:rFonts w:ascii="Century Gothic" w:cs="Century Gothic" w:eastAsia="Century Gothic" w:hAnsi="Century Gothic"/>
                <w:b w:val="false"/>
                <w:bCs w:val="false"/>
                <w:i/>
                <w:iCs/>
                <w:color w:val="8B7355"/>
                <w:sz w:val="18"/>
                <w:szCs w:val="18"/>
              </w:rPr>
              <w:t xml:space="preserve">Neighborhood map — 1-mile radius with transit stops, key amenities, and competing supply pinned</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3.2 — Neighborhood Context Map  |  Source: Google Maps Static API / OpenStreetMap</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3.3  FEMA Flood Map</w:t>
      </w:r>
    </w:p>
    <w:p>
      <w:pPr>
        <w:spacing w:after="140" w:before="0"/>
        <w:jc w:val="both"/>
      </w:pPr>
      <w:r>
        <w:rPr>
          <w:rFonts w:ascii="Century Gothic" w:cs="Century Gothic" w:eastAsia="Century Gothic" w:hAnsi="Century Gothic"/>
          <w:color w:val="5C3D26"/>
          <w:sz w:val="22"/>
          <w:szCs w:val="22"/>
          <w:highlight w:val="yellow"/>
        </w:rPr>
        <w:t xml:space="preserve">{{ fema_flood_narrative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fema_flood_map }}</w:t>
            </w:r>
          </w:p>
          <w:p>
            <w:pPr>
              <w:spacing w:after="0" w:before="0"/>
              <w:jc w:val="center"/>
            </w:pPr>
            <w:r>
              <w:rPr>
                <w:rFonts w:ascii="Century Gothic" w:cs="Century Gothic" w:eastAsia="Century Gothic" w:hAnsi="Century Gothic"/>
                <w:b w:val="false"/>
                <w:bCs w:val="false"/>
                <w:i/>
                <w:iCs/>
                <w:color w:val="8B7355"/>
                <w:sz w:val="18"/>
                <w:szCs w:val="18"/>
              </w:rPr>
              <w:t xml:space="preserve">FEMA FIRM panel — flood zone designation for subject parcel(s). Zone X = not required; Zone AE = required</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3.3 — FEMA Flood Map  |  Source: FEMA NFHL (msc.fema.gov)  |  Panel: </w:t>
      </w:r>
      <w:r>
        <w:rPr>
          <w:rFonts w:ascii="Century Gothic" w:cs="Century Gothic" w:eastAsia="Century Gothic" w:hAnsi="Century Gothic"/>
          <w:color w:val="5C3D26"/>
          <w:sz w:val="22"/>
          <w:szCs w:val="22"/>
          <w:highlight w:val="yellow"/>
        </w:rPr>
        <w:t xml:space="preserve">{{ fema_panel_number }}</w:t>
      </w:r>
    </w:p>
    <w:p>
      <w:pPr>
        <w:spacing w:after="120" w:before="40"/>
      </w:pPr>
      <w:r>
        <w:rPr>
          <w:rFonts w:ascii="Century Gothic" w:cs="Century Gothic" w:eastAsia="Century Gothic" w:hAnsi="Century Gothic"/>
          <w:b w:val="false"/>
          <w:bCs w:val="false"/>
          <w:i/>
          <w:iCs/>
          <w:color w:val="8B7355"/>
          <w:sz w:val="18"/>
          <w:szCs w:val="18"/>
        </w:rPr>
        <w:t xml:space="preserve">Source: FEMA National Flood Hazard Layer (msc.fema.gov)  |  OpenStreetMap contributors  |  Google Maps Static API</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04</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PROPERTY DESCRIPTION</w:t>
      </w:r>
    </w:p>
    <w:p>
      <w:pPr>
        <w:spacing w:after="140" w:before="0"/>
        <w:jc w:val="both"/>
      </w:pPr>
      <w:r>
        <w:rPr>
          <w:rFonts w:ascii="Century Gothic" w:cs="Century Gothic" w:eastAsia="Century Gothic" w:hAnsi="Century Gothic"/>
          <w:color w:val="5C3D26"/>
          <w:sz w:val="22"/>
          <w:szCs w:val="22"/>
          <w:highlight w:val="yellow"/>
        </w:rPr>
        <w:t xml:space="preserve">{{ prop_desc_p1 }}</w:t>
      </w:r>
    </w:p>
    <w:p>
      <w:pPr>
        <w:spacing w:after="140" w:before="0"/>
        <w:jc w:val="both"/>
      </w:pPr>
      <w:r>
        <w:rPr>
          <w:rFonts w:ascii="Century Gothic" w:cs="Century Gothic" w:eastAsia="Century Gothic" w:hAnsi="Century Gothic"/>
          <w:color w:val="5C3D26"/>
          <w:sz w:val="22"/>
          <w:szCs w:val="22"/>
          <w:highlight w:val="yellow"/>
        </w:rPr>
        <w:t xml:space="preserve">{{ prop_desc_p2 }}</w:t>
      </w:r>
    </w:p>
    <w:p>
      <w:pPr>
        <w:spacing w:after="140" w:before="0"/>
        <w:jc w:val="both"/>
      </w:pPr>
      <w:r>
        <w:rPr>
          <w:rFonts w:ascii="Century Gothic" w:cs="Century Gothic" w:eastAsia="Century Gothic" w:hAnsi="Century Gothic"/>
          <w:color w:val="5C3D26"/>
          <w:sz w:val="22"/>
          <w:szCs w:val="22"/>
          <w:highlight w:val="yellow"/>
        </w:rPr>
        <w:t xml:space="preserve">{{ prop_desc_p3 }}</w:t>
      </w:r>
    </w:p>
    <w:p>
      <w:pPr>
        <w:spacing w:after="140" w:before="0"/>
        <w:jc w:val="both"/>
      </w:pPr>
      <w:r>
        <w:rPr>
          <w:rFonts w:ascii="Century Gothic" w:cs="Century Gothic" w:eastAsia="Century Gothic" w:hAnsi="Century Gothic"/>
          <w:color w:val="5C3D26"/>
          <w:sz w:val="22"/>
          <w:szCs w:val="22"/>
          <w:highlight w:val="yellow"/>
        </w:rPr>
        <w:t xml:space="preserve">{{ prop_desc_p4 }}</w:t>
      </w:r>
    </w:p>
    <w:p>
      <w:pPr>
        <w:spacing w:after="10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Parcel &amp; Improvement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tcW w:type="dxa" w:w="25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Field</w:t>
            </w:r>
          </w:p>
        </w:tc>
        <w:tc>
          <w:tcPr>
            <w:tcW w:type="dxa" w:w="34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Parcel A</w:t>
            </w:r>
          </w:p>
        </w:tc>
        <w:tc>
          <w:tcPr>
            <w:tcW w:type="dxa" w:w="34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Parcel B</w:t>
            </w:r>
          </w:p>
        </w:tc>
      </w:tr>
      <w:tr>
        <w:tc>
          <w:tcPr>
            <w:tcW w:type="dxa" w:w="25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parcel_data_table }}</w:t>
            </w:r>
          </w:p>
        </w:tc>
        <w:tc>
          <w:tcPr>
            <w:tcW w:type="dxa" w:w="34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34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Full parcel data table — OPA/APN, Census Tract, FIPS, zoning, assessed values, lot area, improvements, year built</w:t>
      </w:r>
    </w:p>
    <w:p>
      <w:pPr>
        <w:spacing w:after="80" w:before="0"/>
      </w:pPr>
      <w:r>
        <w:rPr>
          <w:rFonts w:ascii="Century Gothic" w:cs="Century Gothic" w:eastAsia="Century Gothic" w:hAnsi="Century Gothic"/>
          <w:b/>
          <w:bCs/>
          <w:i w:val="false"/>
          <w:iCs w:val="false"/>
          <w:color w:val="2C1F14"/>
          <w:sz w:val="20"/>
          <w:szCs w:val="20"/>
        </w:rPr>
        <w:t xml:space="preserve">Census Tract: </w:t>
      </w:r>
      <w:r>
        <w:rPr>
          <w:rFonts w:ascii="Century Gothic" w:cs="Century Gothic" w:eastAsia="Century Gothic" w:hAnsi="Century Gothic"/>
          <w:color w:val="5C3D26"/>
          <w:sz w:val="22"/>
          <w:szCs w:val="22"/>
          <w:highlight w:val="yellow"/>
        </w:rPr>
        <w:t xml:space="preserve">{{ census_tract }}</w:t>
      </w:r>
      <w:r>
        <w:rPr>
          <w:rFonts w:ascii="Century Gothic" w:cs="Century Gothic" w:eastAsia="Century Gothic" w:hAnsi="Century Gothic"/>
          <w:b/>
          <w:bCs/>
          <w:i w:val="false"/>
          <w:iCs w:val="false"/>
          <w:color w:val="2C1F14"/>
          <w:sz w:val="20"/>
          <w:szCs w:val="20"/>
        </w:rPr>
        <w:t xml:space="preserve">    FIPS Code (Tract): </w:t>
      </w:r>
      <w:r>
        <w:rPr>
          <w:rFonts w:ascii="Century Gothic" w:cs="Century Gothic" w:eastAsia="Century Gothic" w:hAnsi="Century Gothic"/>
          <w:color w:val="5C3D26"/>
          <w:sz w:val="22"/>
          <w:szCs w:val="22"/>
          <w:highlight w:val="yellow"/>
        </w:rPr>
        <w:t xml:space="preserve">{{ fips_code }}</w:t>
      </w:r>
    </w:p>
    <w:p>
      <w:pPr>
        <w:spacing w:after="120" w:before="40"/>
      </w:pPr>
      <w:r>
        <w:rPr>
          <w:rFonts w:ascii="Century Gothic" w:cs="Century Gothic" w:eastAsia="Century Gothic" w:hAnsi="Century Gothic"/>
          <w:b w:val="false"/>
          <w:bCs w:val="false"/>
          <w:i/>
          <w:iCs/>
          <w:color w:val="8B7355"/>
          <w:sz w:val="18"/>
          <w:szCs w:val="18"/>
        </w:rPr>
        <w:t xml:space="preserve">Source: Philadelphia OPA (opadata.phila.gov)  |  Census Tract &amp; FIPS: U.S. Census Bureau Geocoder</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Utilities &amp; Infrastructure</w:t>
      </w:r>
    </w:p>
    <w:p>
      <w:pPr>
        <w:spacing w:after="140" w:before="0"/>
        <w:jc w:val="both"/>
      </w:pPr>
      <w:r>
        <w:rPr>
          <w:rFonts w:ascii="Century Gothic" w:cs="Century Gothic" w:eastAsia="Century Gothic" w:hAnsi="Century Gothic"/>
          <w:color w:val="5C3D26"/>
          <w:sz w:val="22"/>
          <w:szCs w:val="22"/>
          <w:highlight w:val="yellow"/>
        </w:rPr>
        <w:t xml:space="preserve">{{ utilities_analysis }}</w:t>
      </w:r>
    </w:p>
    <w:p>
      <w:pPr>
        <w:spacing w:after="120" w:before="40"/>
      </w:pPr>
      <w:r>
        <w:rPr>
          <w:rFonts w:ascii="Century Gothic" w:cs="Century Gothic" w:eastAsia="Century Gothic" w:hAnsi="Century Gothic"/>
          <w:b w:val="false"/>
          <w:bCs w:val="false"/>
          <w:i/>
          <w:iCs/>
          <w:color w:val="8B7355"/>
          <w:sz w:val="18"/>
          <w:szCs w:val="18"/>
        </w:rPr>
        <w:t xml:space="preserve">Source: Philadelphia Water Department  |  PECO Energy  |  Philadelphia Gas Works</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05</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OWNERSHIP &amp; TITLE HISTORY</w:t>
      </w:r>
    </w:p>
    <w:p>
      <w:pPr>
        <w:spacing w:after="140" w:before="0"/>
        <w:jc w:val="both"/>
      </w:pPr>
      <w:r>
        <w:rPr>
          <w:rFonts w:ascii="Century Gothic" w:cs="Century Gothic" w:eastAsia="Century Gothic" w:hAnsi="Century Gothic"/>
          <w:color w:val="5C3D26"/>
          <w:sz w:val="22"/>
          <w:szCs w:val="22"/>
          <w:highlight w:val="yellow"/>
        </w:rPr>
        <w:t xml:space="preserve">{{ ownership_narrative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5.1  Ownership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2160"/>
        <w:gridCol w:w="1080"/>
        <w:gridCol w:w="1440"/>
        <w:gridCol w:w="1440"/>
      </w:tblGrid>
      <w:tr>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Date</w:t>
            </w:r>
          </w:p>
        </w:tc>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Grantor (Seller)</w:t>
            </w:r>
          </w:p>
        </w:tc>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Grantee (Buyer)</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Sale Price</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Deed Book/Page</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ownership_history_table }}</w:t>
            </w:r>
          </w:p>
        </w:tc>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Transfer history — all recorded deeds</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5.2  Current Ownership &amp;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Field</w:t>
            </w:r>
          </w:p>
        </w:tc>
        <w:tc>
          <w:tcPr>
            <w:tcW w:type="dxa" w:w="64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Detail</w:t>
            </w:r>
          </w:p>
        </w:tc>
      </w:tr>
      <w:tr>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current_ownership_table }}</w:t>
            </w:r>
          </w:p>
        </w:tc>
        <w:tc>
          <w:tcPr>
            <w:tcW w:type="dxa" w:w="64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Current owner, entity type, formation state, registered agent</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5.3  Liens, Mortgages &amp; Encumbrances</w:t>
      </w:r>
    </w:p>
    <w:p>
      <w:pPr>
        <w:spacing w:after="140" w:before="0"/>
        <w:jc w:val="both"/>
      </w:pPr>
      <w:r>
        <w:rPr>
          <w:rFonts w:ascii="Century Gothic" w:cs="Century Gothic" w:eastAsia="Century Gothic" w:hAnsi="Century Gothic"/>
          <w:color w:val="5C3D26"/>
          <w:sz w:val="22"/>
          <w:szCs w:val="22"/>
          <w:highlight w:val="yellow"/>
        </w:rPr>
        <w:t xml:space="preserve">{{ liens_narrative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520"/>
        <w:gridCol w:w="1440"/>
        <w:gridCol w:w="1440"/>
        <w:gridCol w:w="2340"/>
      </w:tblGrid>
      <w:tr>
        <w:tc>
          <w:tcPr>
            <w:tcW w:type="dxa" w:w="16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25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Holder</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Amount</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Recorded Date</w:t>
            </w:r>
          </w:p>
        </w:tc>
        <w:tc>
          <w:tcPr>
            <w:tcW w:type="dxa" w:w="23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r>
      <w:tr>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liens_table }}</w:t>
            </w:r>
          </w:p>
        </w:tc>
        <w:tc>
          <w:tcPr>
            <w:tcW w:type="dxa" w:w="25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3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All recorded liens, mortgages, and encumbrances against the property</w:t>
      </w:r>
    </w:p>
    <w:p>
      <w:pPr>
        <w:spacing w:after="120" w:before="40"/>
      </w:pPr>
      <w:r>
        <w:rPr>
          <w:rFonts w:ascii="Century Gothic" w:cs="Century Gothic" w:eastAsia="Century Gothic" w:hAnsi="Century Gothic"/>
          <w:b w:val="false"/>
          <w:bCs w:val="false"/>
          <w:i/>
          <w:iCs/>
          <w:color w:val="8B7355"/>
          <w:sz w:val="18"/>
          <w:szCs w:val="18"/>
        </w:rPr>
        <w:t xml:space="preserve">Source: Philadelphia Recorder of Deeds (philadox.phila.gov)  |  UCC Filings (corporations.pa.gov)  |  Title search</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06</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ZONING &amp; LAND USE ANALYSIS</w:t>
      </w:r>
    </w:p>
    <w:p>
      <w:pPr>
        <w:spacing w:after="140" w:before="0"/>
        <w:jc w:val="both"/>
      </w:pPr>
      <w:r>
        <w:rPr>
          <w:rFonts w:ascii="Century Gothic" w:cs="Century Gothic" w:eastAsia="Century Gothic" w:hAnsi="Century Gothic"/>
          <w:color w:val="5C3D26"/>
          <w:sz w:val="22"/>
          <w:szCs w:val="22"/>
          <w:highlight w:val="yellow"/>
        </w:rPr>
        <w:t xml:space="preserve">{{ zoning_overview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Zoning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Parameter</w:t>
            </w:r>
          </w:p>
        </w:tc>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Standard</w:t>
            </w:r>
          </w:p>
        </w:tc>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Proposed</w:t>
            </w:r>
          </w:p>
        </w:tc>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Code Section</w:t>
            </w:r>
          </w:p>
        </w:tc>
      </w:tr>
      <w:tr>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zoning_standards_table }}</w:t>
            </w:r>
          </w:p>
        </w:tc>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12-parameter zoning standards with code citations</w:t>
      </w:r>
    </w:p>
    <w:p>
      <w:pPr>
        <w:spacing w:after="120" w:before="40"/>
      </w:pPr>
      <w:r>
        <w:rPr>
          <w:rFonts w:ascii="Century Gothic" w:cs="Century Gothic" w:eastAsia="Century Gothic" w:hAnsi="Century Gothic"/>
          <w:b w:val="false"/>
          <w:bCs w:val="false"/>
          <w:i/>
          <w:iCs/>
          <w:color w:val="8B7355"/>
          <w:sz w:val="18"/>
          <w:szCs w:val="18"/>
        </w:rPr>
        <w:t xml:space="preserve">Source: Philadelphia Zoning Code Title 14 (philadelphia.ecode360.com)  |  Verified via Prompt 3A</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Buildable Capacity Analysis</w:t>
      </w:r>
    </w:p>
    <w:p>
      <w:pPr>
        <w:spacing w:after="140" w:before="0"/>
        <w:jc w:val="both"/>
      </w:pPr>
      <w:r>
        <w:rPr>
          <w:rFonts w:ascii="Century Gothic" w:cs="Century Gothic" w:eastAsia="Century Gothic" w:hAnsi="Century Gothic"/>
          <w:color w:val="5C3D26"/>
          <w:sz w:val="22"/>
          <w:szCs w:val="22"/>
          <w:highlight w:val="yellow"/>
        </w:rPr>
        <w:t xml:space="preserve">{{ buildable_capacity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Highest &amp; Best Use Opinion</w:t>
      </w:r>
    </w:p>
    <w:p>
      <w:pPr>
        <w:spacing w:after="140" w:before="0"/>
        <w:jc w:val="both"/>
      </w:pPr>
      <w:r>
        <w:rPr>
          <w:rFonts w:ascii="Century Gothic" w:cs="Century Gothic" w:eastAsia="Century Gothic" w:hAnsi="Century Gothic"/>
          <w:color w:val="5C3D26"/>
          <w:sz w:val="22"/>
          <w:szCs w:val="22"/>
          <w:highlight w:val="yellow"/>
        </w:rPr>
        <w:t xml:space="preserve">{{ highest_best_use }}</w:t>
      </w:r>
    </w:p>
    <w:p>
      <w:pPr>
        <w:spacing w:after="120" w:before="40"/>
      </w:pPr>
      <w:r>
        <w:rPr>
          <w:rFonts w:ascii="Century Gothic" w:cs="Century Gothic" w:eastAsia="Century Gothic" w:hAnsi="Century Gothic"/>
          <w:b w:val="false"/>
          <w:bCs w:val="false"/>
          <w:i/>
          <w:iCs/>
          <w:color w:val="8B7355"/>
          <w:sz w:val="18"/>
          <w:szCs w:val="18"/>
        </w:rPr>
        <w:t xml:space="preserve">Source: Municipal zoning code  |  eCode360  |  American Legal Publishing  |  Prompt 3B/3C outputs</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07</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LOCATION &amp; MARKET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A6E50" w:sz="20"/>
              <w:bottom w:val="none" w:color="FFFFFF" w:sz="0"/>
              <w:right w:val="none" w:color="FFFFFF" w:sz="0"/>
            </w:tcBorders>
            <w:shd w:fill="B2C9B4" w:val="clear"/>
            <w:tcMar>
              <w:top w:type="dxa" w:w="120"/>
              <w:left w:type="dxa" w:w="200"/>
              <w:bottom w:type="dxa" w:w="120"/>
              <w:right w:type="dxa" w:w="160"/>
            </w:tcMar>
          </w:tcPr>
          <w:p>
            <w:pPr>
              <w:spacing w:after="0" w:before="0"/>
            </w:pPr>
            <w:r>
              <w:rPr>
                <w:rFonts w:ascii="Century Gothic" w:cs="Century Gothic" w:eastAsia="Century Gothic" w:hAnsi="Century Gothic"/>
                <w:color w:val="5C3D26"/>
                <w:sz w:val="22"/>
                <w:szCs w:val="22"/>
                <w:highlight w:val="yellow"/>
              </w:rPr>
              <w:t xml:space="preserve">{{ location_pullquote }}</w:t>
            </w:r>
          </w:p>
        </w:tc>
      </w:tr>
    </w:tbl>
    <w:p>
      <w:pPr>
        <w:spacing w:after="80" w:before="0"/>
      </w:pPr>
    </w:p>
    <w:p>
      <w:pPr>
        <w:spacing w:after="140" w:before="0"/>
        <w:jc w:val="both"/>
      </w:pPr>
      <w:r>
        <w:rPr>
          <w:rFonts w:ascii="Century Gothic" w:cs="Century Gothic" w:eastAsia="Century Gothic" w:hAnsi="Century Gothic"/>
          <w:color w:val="5C3D26"/>
          <w:sz w:val="22"/>
          <w:szCs w:val="22"/>
          <w:highlight w:val="yellow"/>
        </w:rPr>
        <w:t xml:space="preserve">{{ location_overview_p1 }}</w:t>
      </w:r>
    </w:p>
    <w:p>
      <w:pPr>
        <w:spacing w:after="140" w:before="0"/>
        <w:jc w:val="both"/>
      </w:pPr>
      <w:r>
        <w:rPr>
          <w:rFonts w:ascii="Century Gothic" w:cs="Century Gothic" w:eastAsia="Century Gothic" w:hAnsi="Century Gothic"/>
          <w:color w:val="5C3D26"/>
          <w:sz w:val="22"/>
          <w:szCs w:val="22"/>
          <w:highlight w:val="yellow"/>
        </w:rPr>
        <w:t xml:space="preserve">{{ location_overview_p2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Transportation &amp; Access</w:t>
      </w:r>
    </w:p>
    <w:p>
      <w:pPr>
        <w:spacing w:after="140" w:before="0"/>
        <w:jc w:val="both"/>
      </w:pPr>
      <w:r>
        <w:rPr>
          <w:rFonts w:ascii="Century Gothic" w:cs="Century Gothic" w:eastAsia="Century Gothic" w:hAnsi="Century Gothic"/>
          <w:color w:val="5C3D26"/>
          <w:sz w:val="22"/>
          <w:szCs w:val="22"/>
          <w:highlight w:val="yellow"/>
        </w:rPr>
        <w:t xml:space="preserve">{{ transportation_analysis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880"/>
        <w:gridCol w:w="1260"/>
        <w:gridCol w:w="3600"/>
      </w:tblGrid>
      <w:tr>
        <w:tc>
          <w:tcPr>
            <w:tcW w:type="dxa" w:w="16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Mode</w:t>
            </w:r>
          </w:p>
        </w:tc>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Route / Line</w:t>
            </w:r>
          </w:p>
        </w:tc>
        <w:tc>
          <w:tcPr>
            <w:tcW w:type="dxa" w:w="12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Distance</w:t>
            </w:r>
          </w:p>
        </w:tc>
        <w:tc>
          <w:tcPr>
            <w:tcW w:type="dxa" w:w="36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Destination</w:t>
            </w:r>
          </w:p>
        </w:tc>
      </w:tr>
      <w:tr>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transportation_table }}</w:t>
            </w:r>
          </w:p>
        </w:tc>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2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36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Transit and access data table — SEPTA, Walk Score, Transit Score</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Nearby Amenities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880"/>
        <w:gridCol w:w="1260"/>
        <w:gridCol w:w="3600"/>
      </w:tblGrid>
      <w:tr>
        <w:tc>
          <w:tcPr>
            <w:tcW w:type="dxa" w:w="16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Category</w:t>
            </w:r>
          </w:p>
        </w:tc>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Name</w:t>
            </w:r>
          </w:p>
        </w:tc>
        <w:tc>
          <w:tcPr>
            <w:tcW w:type="dxa" w:w="12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Distance</w:t>
            </w:r>
          </w:p>
        </w:tc>
        <w:tc>
          <w:tcPr>
            <w:tcW w:type="dxa" w:w="36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amenity_table }}</w:t>
            </w:r>
          </w:p>
        </w:tc>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2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36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Amenity proximity table — grocery, medical, education, parks, retail</w:t>
      </w:r>
    </w:p>
    <w:p>
      <w:pPr>
        <w:spacing w:after="120" w:before="40"/>
      </w:pPr>
      <w:r>
        <w:rPr>
          <w:rFonts w:ascii="Century Gothic" w:cs="Century Gothic" w:eastAsia="Century Gothic" w:hAnsi="Century Gothic"/>
          <w:b w:val="false"/>
          <w:bCs w:val="false"/>
          <w:i/>
          <w:iCs/>
          <w:color w:val="8B7355"/>
          <w:sz w:val="18"/>
          <w:szCs w:val="18"/>
        </w:rPr>
        <w:t xml:space="preserve">Source: Walk Score Inc. (walkscore.com)  |  Google Maps  |  SEPTA (septa.org)  |  U.S. Census LEHD</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08</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NEIGHBORHOOD TREND ANALYSIS</w:t>
      </w:r>
    </w:p>
    <w:p>
      <w:pPr>
        <w:spacing w:after="140" w:before="0"/>
        <w:jc w:val="both"/>
      </w:pPr>
      <w:r>
        <w:rPr>
          <w:rFonts w:ascii="Century Gothic" w:cs="Century Gothic" w:eastAsia="Century Gothic" w:hAnsi="Century Gothic"/>
          <w:color w:val="5C3D26"/>
          <w:sz w:val="22"/>
          <w:szCs w:val="22"/>
          <w:highlight w:val="yellow"/>
        </w:rPr>
        <w:t xml:space="preserve">{{ neighborhood_trend_narrative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demo_trend_charts }}</w:t>
            </w:r>
          </w:p>
          <w:p>
            <w:pPr>
              <w:spacing w:after="0" w:before="0"/>
              <w:jc w:val="center"/>
            </w:pPr>
            <w:r>
              <w:rPr>
                <w:rFonts w:ascii="Century Gothic" w:cs="Century Gothic" w:eastAsia="Century Gothic" w:hAnsi="Century Gothic"/>
                <w:b w:val="false"/>
                <w:bCs w:val="false"/>
                <w:i/>
                <w:iCs/>
                <w:color w:val="8B7355"/>
                <w:sz w:val="18"/>
                <w:szCs w:val="18"/>
              </w:rPr>
              <w:t xml:space="preserve">Demographic Trend Charts — 2×2 grid: Population, Median HH Income, Renter %, Vacancy Rate (5-year)</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8.1 — Demographic Trends  |  Source: U.S. Census Bureau ACS 5-Year Estimates  |  data.census.gov</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Key Demographic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620"/>
        <w:gridCol w:w="1620"/>
        <w:gridCol w:w="1620"/>
        <w:gridCol w:w="2340"/>
      </w:tblGrid>
      <w:tr>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Indicator</w:t>
            </w:r>
          </w:p>
        </w:tc>
        <w:tc>
          <w:tcPr>
            <w:tcW w:type="dxa" w:w="16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1-Mile (Latest)</w:t>
            </w:r>
          </w:p>
        </w:tc>
        <w:tc>
          <w:tcPr>
            <w:tcW w:type="dxa" w:w="16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3-Mile (Latest)</w:t>
            </w:r>
          </w:p>
        </w:tc>
        <w:tc>
          <w:tcPr>
            <w:tcW w:type="dxa" w:w="16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5-Yr Trend</w:t>
            </w:r>
          </w:p>
        </w:tc>
        <w:tc>
          <w:tcPr>
            <w:tcW w:type="dxa" w:w="23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demographics_table }}</w:t>
            </w:r>
          </w:p>
        </w:tc>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3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Key demographic indicators — population, income, renter %, vacancy, employment</w:t>
      </w:r>
    </w:p>
    <w:p>
      <w:pPr>
        <w:spacing w:after="120" w:before="40"/>
      </w:pPr>
      <w:r>
        <w:rPr>
          <w:rFonts w:ascii="Century Gothic" w:cs="Century Gothic" w:eastAsia="Century Gothic" w:hAnsi="Century Gothic"/>
          <w:b w:val="false"/>
          <w:bCs w:val="false"/>
          <w:i/>
          <w:iCs/>
          <w:color w:val="8B7355"/>
          <w:sz w:val="18"/>
          <w:szCs w:val="18"/>
        </w:rPr>
        <w:t xml:space="preserve">Source: U.S. Census Bureau ACS 5-Year Estimates (data.census.gov)  |  Bureau of Labor Statistics  |  IRS SOI Migration Data</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09</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MARKET SUPPLY &amp; PIPELINE ANALYSIS</w:t>
      </w:r>
    </w:p>
    <w:p>
      <w:pPr>
        <w:spacing w:after="140" w:before="0"/>
        <w:jc w:val="both"/>
      </w:pPr>
      <w:r>
        <w:rPr>
          <w:rFonts w:ascii="Century Gothic" w:cs="Century Gothic" w:eastAsia="Century Gothic" w:hAnsi="Century Gothic"/>
          <w:color w:val="5C3D26"/>
          <w:sz w:val="22"/>
          <w:szCs w:val="22"/>
          <w:highlight w:val="yellow"/>
        </w:rPr>
        <w:t xml:space="preserve">{{ supply_pipeline_narrative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supply_pipeline_chart }}</w:t>
            </w:r>
          </w:p>
          <w:p>
            <w:pPr>
              <w:spacing w:after="0" w:before="0"/>
              <w:jc w:val="center"/>
            </w:pPr>
            <w:r>
              <w:rPr>
                <w:rFonts w:ascii="Century Gothic" w:cs="Century Gothic" w:eastAsia="Century Gothic" w:hAnsi="Century Gothic"/>
                <w:b w:val="false"/>
                <w:bCs w:val="false"/>
                <w:i/>
                <w:iCs/>
                <w:color w:val="8B7355"/>
                <w:sz w:val="18"/>
                <w:szCs w:val="18"/>
              </w:rPr>
              <w:t xml:space="preserve">Supply Pipeline — horizontal bar chart + project register (market.py output)</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9.1 — Supply Pipeline  |  Sources: Philadelphia L&amp;I, CoStar, City Planning Commission</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Pipeline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720"/>
        <w:gridCol w:w="1440"/>
        <w:gridCol w:w="1620"/>
        <w:gridCol w:w="1440"/>
        <w:gridCol w:w="1620"/>
      </w:tblGrid>
      <w:tr>
        <w:tc>
          <w:tcPr>
            <w:tcW w:type="dxa" w:w="25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Project Name</w:t>
            </w:r>
          </w:p>
        </w:tc>
        <w:tc>
          <w:tcPr>
            <w:tcW w:type="dxa" w:w="7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Units</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16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Est. Delivery</w:t>
            </w:r>
          </w:p>
        </w:tc>
        <w:tc>
          <w:tcPr>
            <w:tcW w:type="dxa" w:w="16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Distance</w:t>
            </w:r>
          </w:p>
        </w:tc>
      </w:tr>
      <w:tr>
        <w:tc>
          <w:tcPr>
            <w:tcW w:type="dxa" w:w="25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supply_pipeline_table }}</w:t>
            </w:r>
          </w:p>
        </w:tc>
        <w:tc>
          <w:tcPr>
            <w:tcW w:type="dxa" w:w="7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All known and proposed projects within 1.5-mile radius</w:t>
      </w:r>
    </w:p>
    <w:p>
      <w:pPr>
        <w:spacing w:after="120" w:before="40"/>
      </w:pPr>
      <w:r>
        <w:rPr>
          <w:rFonts w:ascii="Century Gothic" w:cs="Century Gothic" w:eastAsia="Century Gothic" w:hAnsi="Century Gothic"/>
          <w:b w:val="false"/>
          <w:bCs w:val="false"/>
          <w:i/>
          <w:iCs/>
          <w:color w:val="8B7355"/>
          <w:sz w:val="18"/>
          <w:szCs w:val="18"/>
        </w:rPr>
        <w:t xml:space="preserve">Source: Philadelphia L&amp;I Permit Database  |  CoStar (via Shonda)  |  Philadelphia City Planning Commission  |  market.py / Prompt 4-MASTER</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10</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UNIT MIX &amp; RENT ROLL DETAIL</w:t>
      </w:r>
    </w:p>
    <w:p>
      <w:pPr>
        <w:spacing w:after="140" w:before="0"/>
        <w:jc w:val="both"/>
      </w:pPr>
      <w:r>
        <w:rPr>
          <w:rFonts w:ascii="Century Gothic" w:cs="Century Gothic" w:eastAsia="Century Gothic" w:hAnsi="Century Gothic"/>
          <w:color w:val="5C3D26"/>
          <w:sz w:val="22"/>
          <w:szCs w:val="22"/>
          <w:highlight w:val="yellow"/>
        </w:rPr>
        <w:t xml:space="preserve">{{ rent_roll_intro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10.1  Unit Mix Summary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620"/>
        <w:gridCol w:w="900"/>
        <w:gridCol w:w="900"/>
        <w:gridCol w:w="1440"/>
        <w:gridCol w:w="1440"/>
        <w:gridCol w:w="1800"/>
      </w:tblGrid>
      <w:tr>
        <w:tc>
          <w:tcPr>
            <w:tcW w:type="dxa" w:w="16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Unit Type</w:t>
            </w:r>
          </w:p>
        </w:tc>
        <w:tc>
          <w:tcPr>
            <w:tcW w:type="dxa" w:w="9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Count</w:t>
            </w:r>
          </w:p>
        </w:tc>
        <w:tc>
          <w:tcPr>
            <w:tcW w:type="dxa" w:w="9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Avg SF</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Current Rent</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Market Rent</w:t>
            </w:r>
          </w:p>
        </w:tc>
        <w:tc>
          <w:tcPr>
            <w:tcW w:type="dxa" w:w="18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 of GPR</w:t>
            </w:r>
          </w:p>
        </w:tc>
      </w:tr>
      <w:tr>
        <w:tc>
          <w:tcPr>
            <w:tcW w:type="dxa" w:w="16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unit_mix_table }}</w:t>
            </w:r>
          </w:p>
        </w:tc>
        <w:tc>
          <w:tcPr>
            <w:tcW w:type="dxa" w:w="9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9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8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Unit mix summary — count, SF, current vs. market rent per type</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10.2  Full Rent Roll</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720"/>
        <w:gridCol w:w="720"/>
        <w:gridCol w:w="1260"/>
        <w:gridCol w:w="1080"/>
        <w:gridCol w:w="1080"/>
        <w:gridCol w:w="1080"/>
        <w:gridCol w:w="1080"/>
        <w:gridCol w:w="540"/>
      </w:tblGrid>
      <w:tr>
        <w:tc>
          <w:tcPr>
            <w:tcW w:type="dxa" w:w="9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Unit #</w:t>
            </w:r>
          </w:p>
        </w:tc>
        <w:tc>
          <w:tcPr>
            <w:tcW w:type="dxa" w:w="7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7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SF</w:t>
            </w:r>
          </w:p>
        </w:tc>
        <w:tc>
          <w:tcPr>
            <w:tcW w:type="dxa" w:w="12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Tenant</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Current Rent</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Market Rent</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Lease Start</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Lease End</w:t>
            </w:r>
          </w:p>
        </w:tc>
        <w:tc>
          <w:tcPr>
            <w:tcW w:type="dxa" w:w="5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r>
      <w:tr>
        <w:tc>
          <w:tcPr>
            <w:tcW w:type="dxa" w:w="9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rent_roll_table }}</w:t>
            </w:r>
          </w:p>
        </w:tc>
        <w:tc>
          <w:tcPr>
            <w:tcW w:type="dxa" w:w="7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7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2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5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Complete unit-by-unit rent roll</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10.3  Income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1440"/>
        <w:gridCol w:w="3600"/>
      </w:tblGrid>
      <w:tr>
        <w:tc>
          <w:tcPr>
            <w:tcW w:type="dxa" w:w="25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Income Category</w:t>
            </w:r>
          </w:p>
        </w:tc>
        <w:tc>
          <w:tcPr>
            <w:tcW w:type="dxa" w:w="18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Annual Amount</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 of GPR</w:t>
            </w:r>
          </w:p>
        </w:tc>
        <w:tc>
          <w:tcPr>
            <w:tcW w:type="dxa" w:w="36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5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income_summary_table }}</w:t>
            </w:r>
          </w:p>
        </w:tc>
        <w:tc>
          <w:tcPr>
            <w:tcW w:type="dxa" w:w="18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36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GPR, vacancy loss, concessions, EGR, other income rollup</w:t>
      </w:r>
    </w:p>
    <w:p>
      <w:pPr>
        <w:spacing w:after="120" w:before="40"/>
      </w:pPr>
      <w:r>
        <w:rPr>
          <w:rFonts w:ascii="Century Gothic" w:cs="Century Gothic" w:eastAsia="Century Gothic" w:hAnsi="Century Gothic"/>
          <w:b w:val="false"/>
          <w:bCs w:val="false"/>
          <w:i/>
          <w:iCs/>
          <w:color w:val="8B7355"/>
          <w:sz w:val="18"/>
          <w:szCs w:val="18"/>
        </w:rPr>
        <w:t xml:space="preserve">Source: Offering Memorandum  |  T-12 Financial Statements  |  HUD FMR FY2025 (huduser.gov)</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11</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COMPARABLE MARKET ANALYSIS</w:t>
      </w: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11.1  Residential Rent Comparables</w:t>
      </w:r>
    </w:p>
    <w:p>
      <w:pPr>
        <w:spacing w:after="140" w:before="0"/>
        <w:jc w:val="both"/>
      </w:pPr>
      <w:r>
        <w:rPr>
          <w:rFonts w:ascii="Century Gothic" w:cs="Century Gothic" w:eastAsia="Century Gothic" w:hAnsi="Century Gothic"/>
          <w:color w:val="5C3D26"/>
          <w:sz w:val="22"/>
          <w:szCs w:val="22"/>
          <w:highlight w:val="yellow"/>
        </w:rPr>
        <w:t xml:space="preserve">{{ rent_comp_narrative }}</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980"/>
        <w:gridCol w:w="1080"/>
        <w:gridCol w:w="720"/>
        <w:gridCol w:w="900"/>
        <w:gridCol w:w="720"/>
        <w:gridCol w:w="900"/>
        <w:gridCol w:w="1260"/>
      </w:tblGrid>
      <w:tr>
        <w:tc>
          <w:tcPr>
            <w:tcW w:type="dxa" w:w="19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Property</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7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Beds</w:t>
            </w:r>
          </w:p>
        </w:tc>
        <w:tc>
          <w:tcPr>
            <w:tcW w:type="dxa" w:w="9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Rent/Mo</w:t>
            </w:r>
          </w:p>
        </w:tc>
        <w:tc>
          <w:tcPr>
            <w:tcW w:type="dxa" w:w="7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$/SF</w:t>
            </w:r>
          </w:p>
        </w:tc>
        <w:tc>
          <w:tcPr>
            <w:tcW w:type="dxa" w:w="9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Distance</w:t>
            </w:r>
          </w:p>
        </w:tc>
        <w:tc>
          <w:tcPr>
            <w:tcW w:type="dxa" w:w="12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w:t>
            </w:r>
          </w:p>
        </w:tc>
      </w:tr>
      <w:tr>
        <w:tc>
          <w:tcPr>
            <w:tcW w:type="dxa" w:w="19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rent_comp_table }}</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7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9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7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9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2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Rent comp table — 8 comps with HUD FMR benchmarks</w:t>
      </w:r>
    </w:p>
    <w:p>
      <w:pPr>
        <w:spacing w:after="120" w:before="40"/>
      </w:pPr>
      <w:r>
        <w:rPr>
          <w:rFonts w:ascii="Century Gothic" w:cs="Century Gothic" w:eastAsia="Century Gothic" w:hAnsi="Century Gothic"/>
          <w:b w:val="false"/>
          <w:bCs w:val="false"/>
          <w:i/>
          <w:iCs/>
          <w:color w:val="8B7355"/>
          <w:sz w:val="18"/>
          <w:szCs w:val="18"/>
        </w:rPr>
        <w:t xml:space="preserve">Source: Zillow ZORI  |  Redfin  |  HUD FMR FY2025 (huduser.gov)</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11.2  Commercial Rent Comparables</w:t>
      </w:r>
    </w:p>
    <w:p>
      <w:pPr>
        <w:spacing w:after="140" w:before="0"/>
        <w:jc w:val="both"/>
      </w:pPr>
      <w:r>
        <w:rPr>
          <w:rFonts w:ascii="Century Gothic" w:cs="Century Gothic" w:eastAsia="Century Gothic" w:hAnsi="Century Gothic"/>
          <w:color w:val="5C3D26"/>
          <w:sz w:val="22"/>
          <w:szCs w:val="22"/>
          <w:highlight w:val="yellow"/>
        </w:rPr>
        <w:t xml:space="preserve">{{ commercial_comp_narrative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1440"/>
        <w:gridCol w:w="1800"/>
        <w:gridCol w:w="2520"/>
      </w:tblGrid>
      <w:tr>
        <w:tc>
          <w:tcPr>
            <w:tcW w:type="dxa" w:w="25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Address</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SF</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Use</w:t>
            </w:r>
          </w:p>
        </w:tc>
        <w:tc>
          <w:tcPr>
            <w:tcW w:type="dxa" w:w="18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Asking Rent</w:t>
            </w:r>
          </w:p>
        </w:tc>
        <w:tc>
          <w:tcPr>
            <w:tcW w:type="dxa" w:w="25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Terms</w:t>
            </w:r>
          </w:p>
        </w:tc>
      </w:tr>
      <w:tr>
        <w:tc>
          <w:tcPr>
            <w:tcW w:type="dxa" w:w="25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commercial_comp_table }}</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8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5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Commercial comp table — 5 comparables</w:t>
      </w:r>
    </w:p>
    <w:p>
      <w:pPr>
        <w:spacing w:after="120" w:before="40"/>
      </w:pPr>
      <w:r>
        <w:rPr>
          <w:rFonts w:ascii="Century Gothic" w:cs="Century Gothic" w:eastAsia="Century Gothic" w:hAnsi="Century Gothic"/>
          <w:b w:val="false"/>
          <w:bCs w:val="false"/>
          <w:i/>
          <w:iCs/>
          <w:color w:val="8B7355"/>
          <w:sz w:val="18"/>
          <w:szCs w:val="18"/>
        </w:rPr>
        <w:t xml:space="preserve">Source: Crexi  |  LoopNet  |  CoStar (via Shonda)</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11.3  Sale Comparables</w:t>
      </w:r>
    </w:p>
    <w:p>
      <w:pPr>
        <w:spacing w:after="140" w:before="0"/>
        <w:jc w:val="both"/>
      </w:pPr>
      <w:r>
        <w:rPr>
          <w:rFonts w:ascii="Century Gothic" w:cs="Century Gothic" w:eastAsia="Century Gothic" w:hAnsi="Century Gothic"/>
          <w:color w:val="5C3D26"/>
          <w:sz w:val="22"/>
          <w:szCs w:val="22"/>
          <w:highlight w:val="yellow"/>
        </w:rPr>
        <w:t xml:space="preserve">{{ sale_comp_narrative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440"/>
        <w:gridCol w:w="1080"/>
        <w:gridCol w:w="1080"/>
        <w:gridCol w:w="2520"/>
      </w:tblGrid>
      <w:tr>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Address</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Sale Date</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Price</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Price/SF</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Cap Rate</w:t>
            </w:r>
          </w:p>
        </w:tc>
        <w:tc>
          <w:tcPr>
            <w:tcW w:type="dxa" w:w="25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Similarity</w:t>
            </w:r>
          </w:p>
        </w:tc>
      </w:tr>
      <w:tr>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sale_comp_table }}</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5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Sale comp table — price, cap rate, similarity to subject</w:t>
      </w:r>
    </w:p>
    <w:p>
      <w:pPr>
        <w:spacing w:after="120" w:before="40"/>
      </w:pPr>
      <w:r>
        <w:rPr>
          <w:rFonts w:ascii="Century Gothic" w:cs="Century Gothic" w:eastAsia="Century Gothic" w:hAnsi="Century Gothic"/>
          <w:b w:val="false"/>
          <w:bCs w:val="false"/>
          <w:i/>
          <w:iCs/>
          <w:color w:val="8B7355"/>
          <w:sz w:val="18"/>
          <w:szCs w:val="18"/>
        </w:rPr>
        <w:t xml:space="preserve">Source: CoStar (via Shonda) — recommended for comprehensive sale comp analysis</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12</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FINANCIAL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A6E50" w:sz="20"/>
              <w:bottom w:val="none" w:color="FFFFFF" w:sz="0"/>
              <w:right w:val="none" w:color="FFFFFF" w:sz="0"/>
            </w:tcBorders>
            <w:shd w:fill="B2C9B4" w:val="clear"/>
            <w:tcMar>
              <w:top w:type="dxa" w:w="120"/>
              <w:left w:type="dxa" w:w="200"/>
              <w:bottom w:type="dxa" w:w="120"/>
              <w:right w:type="dxa" w:w="160"/>
            </w:tcMar>
          </w:tcPr>
          <w:p>
            <w:pPr>
              <w:spacing w:after="0" w:before="0"/>
            </w:pPr>
            <w:r>
              <w:rPr>
                <w:rFonts w:ascii="Century Gothic" w:cs="Century Gothic" w:eastAsia="Century Gothic" w:hAnsi="Century Gothic"/>
                <w:color w:val="5C3D26"/>
                <w:sz w:val="22"/>
                <w:szCs w:val="22"/>
                <w:highlight w:val="yellow"/>
              </w:rPr>
              <w:t xml:space="preserve">{{ financial_pullquote }}</w:t>
            </w:r>
          </w:p>
        </w:tc>
      </w:tr>
    </w:tbl>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12.1  Underwriting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440"/>
        <w:gridCol w:w="3960"/>
      </w:tblGrid>
      <w:tr>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Parameter</w:t>
            </w:r>
          </w:p>
        </w:tc>
        <w:tc>
          <w:tcPr>
            <w:tcW w:type="dxa" w:w="18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Value</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Category</w:t>
            </w:r>
          </w:p>
        </w:tc>
        <w:tc>
          <w:tcPr>
            <w:tcW w:type="dxa" w:w="39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assumptions_table }}</w:t>
            </w:r>
          </w:p>
        </w:tc>
        <w:tc>
          <w:tcPr>
            <w:tcW w:type="dxa" w:w="18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39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16+ underwriting parameters — acquisition, construction, financing, hold, exit</w:t>
      </w:r>
    </w:p>
    <w:p>
      <w:pPr>
        <w:spacing w:after="120" w:before="40"/>
      </w:pPr>
      <w:r>
        <w:rPr>
          <w:rFonts w:ascii="Century Gothic" w:cs="Century Gothic" w:eastAsia="Century Gothic" w:hAnsi="Century Gothic"/>
          <w:b w:val="false"/>
          <w:bCs w:val="false"/>
          <w:i/>
          <w:iCs/>
          <w:color w:val="8B7355"/>
          <w:sz w:val="18"/>
          <w:szCs w:val="18"/>
        </w:rPr>
        <w:t xml:space="preserve">Source: DealDesk standard underwriting assumptions  |  HUD FMR FY2025  |  RS Means 2025</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12.2  Sources &amp;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080"/>
        <w:gridCol w:w="3960"/>
      </w:tblGrid>
      <w:tr>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Line Item</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Amount</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 of Total</w:t>
            </w:r>
          </w:p>
        </w:tc>
        <w:tc>
          <w:tcPr>
            <w:tcW w:type="dxa" w:w="39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sources_uses_table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39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Full Sources &amp; Uses — acquisition, construction, financing costs, and sources</w:t>
      </w:r>
    </w:p>
    <w:p>
      <w:pPr>
        <w:spacing w:after="140" w:before="0"/>
        <w:jc w:val="both"/>
      </w:pPr>
      <w:r>
        <w:rPr>
          <w:rFonts w:ascii="Century Gothic" w:cs="Century Gothic" w:eastAsia="Century Gothic" w:hAnsi="Century Gothic"/>
          <w:color w:val="5C3D26"/>
          <w:sz w:val="22"/>
          <w:szCs w:val="22"/>
          <w:highlight w:val="yellow"/>
        </w:rPr>
        <w:t xml:space="preserve">{{ sources_uses_narrative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12.3  Construction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440"/>
        <w:gridCol w:w="900"/>
        <w:gridCol w:w="3060"/>
      </w:tblGrid>
      <w:tr>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Category</w:t>
            </w:r>
          </w:p>
        </w:tc>
        <w:tc>
          <w:tcPr>
            <w:tcW w:type="dxa" w:w="25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Line Item</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Amount</w:t>
            </w:r>
          </w:p>
        </w:tc>
        <w:tc>
          <w:tcPr>
            <w:tcW w:type="dxa" w:w="9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$/SF</w:t>
            </w:r>
          </w:p>
        </w:tc>
        <w:tc>
          <w:tcPr>
            <w:tcW w:type="dxa" w:w="30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construction_budget_table }}</w:t>
            </w:r>
          </w:p>
        </w:tc>
        <w:tc>
          <w:tcPr>
            <w:tcW w:type="dxa" w:w="25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9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30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Itemized construction budget</w:t>
      </w:r>
    </w:p>
    <w:p>
      <w:pPr>
        <w:spacing w:after="140" w:before="0"/>
        <w:jc w:val="both"/>
      </w:pPr>
      <w:r>
        <w:rPr>
          <w:rFonts w:ascii="Century Gothic" w:cs="Century Gothic" w:eastAsia="Century Gothic" w:hAnsi="Century Gothic"/>
          <w:color w:val="5C3D26"/>
          <w:sz w:val="22"/>
          <w:szCs w:val="22"/>
          <w:highlight w:val="yellow"/>
        </w:rPr>
        <w:t xml:space="preserve">{{ construction_budget_narrative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12.4  Ten-Year Pro 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A6E50" w:sz="20"/>
              <w:bottom w:val="none" w:color="FFFFFF" w:sz="0"/>
              <w:right w:val="none" w:color="FFFFFF" w:sz="0"/>
            </w:tcBorders>
            <w:shd w:fill="B2C9B4" w:val="clear"/>
            <w:tcMar>
              <w:top w:type="dxa" w:w="120"/>
              <w:left w:type="dxa" w:w="200"/>
              <w:bottom w:type="dxa" w:w="120"/>
              <w:right w:type="dxa" w:w="160"/>
            </w:tcMar>
          </w:tcPr>
          <w:p>
            <w:pPr>
              <w:spacing w:after="0" w:before="0"/>
            </w:pPr>
            <w:r>
              <w:rPr>
                <w:rFonts w:ascii="Century Gothic" w:cs="Century Gothic" w:eastAsia="Century Gothic" w:hAnsi="Century Gothic"/>
                <w:color w:val="5C3D26"/>
                <w:sz w:val="22"/>
                <w:szCs w:val="22"/>
                <w:highlight w:val="yellow"/>
              </w:rPr>
              <w:t xml:space="preserve">{{ proforma_pullquote }}</w:t>
            </w:r>
          </w:p>
        </w:tc>
      </w:tr>
    </w:tbl>
    <w:p>
      <w:pPr>
        <w:spacing w:after="80" w:before="0"/>
      </w:pPr>
    </w:p>
    <w:p>
      <w:pPr>
        <w:spacing w:after="140" w:before="0"/>
        <w:jc w:val="both"/>
      </w:pPr>
      <w:r>
        <w:rPr>
          <w:rFonts w:ascii="Century Gothic" w:cs="Century Gothic" w:eastAsia="Century Gothic" w:hAnsi="Century Gothic"/>
          <w:color w:val="5C3D26"/>
          <w:sz w:val="22"/>
          <w:szCs w:val="22"/>
          <w:highlight w:val="yellow"/>
        </w:rPr>
        <w:t xml:space="preserve">{{ proforma_narrative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76"/>
        <w:gridCol w:w="936"/>
        <w:gridCol w:w="936"/>
        <w:gridCol w:w="936"/>
        <w:gridCol w:w="936"/>
        <w:gridCol w:w="1080"/>
        <w:gridCol w:w="936"/>
        <w:gridCol w:w="828"/>
        <w:gridCol w:w="1196"/>
      </w:tblGrid>
      <w:tr>
        <w:tc>
          <w:tcPr>
            <w:tcW w:type="dxa" w:w="576"/>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Year</w:t>
            </w:r>
          </w:p>
        </w:tc>
        <w:tc>
          <w:tcPr>
            <w:tcW w:type="dxa" w:w="936"/>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GPR</w:t>
            </w:r>
          </w:p>
        </w:tc>
        <w:tc>
          <w:tcPr>
            <w:tcW w:type="dxa" w:w="936"/>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EGR</w:t>
            </w:r>
          </w:p>
        </w:tc>
        <w:tc>
          <w:tcPr>
            <w:tcW w:type="dxa" w:w="936"/>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OpEx</w:t>
            </w:r>
          </w:p>
        </w:tc>
        <w:tc>
          <w:tcPr>
            <w:tcW w:type="dxa" w:w="936"/>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NOI</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Debt Svc</w:t>
            </w:r>
          </w:p>
        </w:tc>
        <w:tc>
          <w:tcPr>
            <w:tcW w:type="dxa" w:w="936"/>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CFBT</w:t>
            </w:r>
          </w:p>
        </w:tc>
        <w:tc>
          <w:tcPr>
            <w:tcW w:type="dxa" w:w="828"/>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CoC</w:t>
            </w:r>
          </w:p>
        </w:tc>
        <w:tc>
          <w:tcPr>
            <w:tcW w:type="dxa" w:w="1196"/>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DSCR</w:t>
            </w:r>
          </w:p>
        </w:tc>
      </w:tr>
      <w:tr>
        <w:tc>
          <w:tcPr>
            <w:tcW w:type="dxa" w:w="576"/>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proforma_table }}</w:t>
            </w:r>
          </w:p>
        </w:tc>
        <w:tc>
          <w:tcPr>
            <w:tcW w:type="dxa" w:w="936"/>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936"/>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936"/>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936"/>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936"/>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828"/>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196"/>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Full 10-year pro forma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proforma_charts }}</w:t>
            </w:r>
          </w:p>
          <w:p>
            <w:pPr>
              <w:spacing w:after="0" w:before="0"/>
              <w:jc w:val="center"/>
            </w:pPr>
            <w:r>
              <w:rPr>
                <w:rFonts w:ascii="Century Gothic" w:cs="Century Gothic" w:eastAsia="Century Gothic" w:hAnsi="Century Gothic"/>
                <w:b w:val="false"/>
                <w:bCs w:val="false"/>
                <w:i/>
                <w:iCs/>
                <w:color w:val="8B7355"/>
                <w:sz w:val="18"/>
                <w:szCs w:val="18"/>
              </w:rPr>
              <w:t xml:space="preserve">Pro Forma Charts — NOI &amp; CFBT bars + DSCR line chart with 1.20× minimum threshold</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12.1 — Pro Forma Charts  |  Source: DealDesk Underwriting Model</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12.5  Sensitivity Analysis</w:t>
      </w:r>
    </w:p>
    <w:p>
      <w:pPr>
        <w:spacing w:after="140" w:before="0"/>
        <w:jc w:val="both"/>
      </w:pPr>
      <w:r>
        <w:rPr>
          <w:rFonts w:ascii="Century Gothic" w:cs="Century Gothic" w:eastAsia="Century Gothic" w:hAnsi="Century Gothic"/>
          <w:color w:val="5C3D26"/>
          <w:sz w:val="22"/>
          <w:szCs w:val="22"/>
          <w:highlight w:val="yellow"/>
        </w:rPr>
        <w:t xml:space="preserve">{{ sensitivity_narrative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irr_heatmap }}</w:t>
            </w:r>
          </w:p>
          <w:p>
            <w:pPr>
              <w:spacing w:after="0" w:before="0"/>
              <w:jc w:val="center"/>
            </w:pPr>
            <w:r>
              <w:rPr>
                <w:rFonts w:ascii="Century Gothic" w:cs="Century Gothic" w:eastAsia="Century Gothic" w:hAnsi="Century Gothic"/>
                <w:b w:val="false"/>
                <w:bCs w:val="false"/>
                <w:i/>
                <w:iCs/>
                <w:color w:val="8B7355"/>
                <w:sz w:val="18"/>
                <w:szCs w:val="18"/>
              </w:rPr>
              <w:t xml:space="preserve">IRR Sensitivity Heatmap — 7×7 rent growth vs. exit cap rate, base case highlighted</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12.2 — IRR Heatmap  |  Base case highlighted  |  Source: DealDesk Underwriting Model</w:t>
      </w: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12.6  Risk-Weighted Return Profile</w:t>
      </w:r>
    </w:p>
    <w:p>
      <w:pPr>
        <w:spacing w:after="140" w:before="0"/>
        <w:jc w:val="both"/>
      </w:pPr>
      <w:r>
        <w:rPr>
          <w:rFonts w:ascii="Century Gothic" w:cs="Century Gothic" w:eastAsia="Century Gothic" w:hAnsi="Century Gothic"/>
          <w:color w:val="5C3D26"/>
          <w:sz w:val="22"/>
          <w:szCs w:val="22"/>
          <w:highlight w:val="yellow"/>
        </w:rPr>
        <w:t xml:space="preserve">{{ monte_carlo_narrative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12.7  Exit Analysis</w:t>
      </w:r>
    </w:p>
    <w:p>
      <w:pPr>
        <w:spacing w:after="140" w:before="0"/>
        <w:jc w:val="both"/>
      </w:pPr>
      <w:r>
        <w:rPr>
          <w:rFonts w:ascii="Century Gothic" w:cs="Century Gothic" w:eastAsia="Century Gothic" w:hAnsi="Century Gothic"/>
          <w:color w:val="5C3D26"/>
          <w:sz w:val="22"/>
          <w:szCs w:val="22"/>
          <w:highlight w:val="yellow"/>
        </w:rPr>
        <w:t xml:space="preserve">{{ exit_narrative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3960"/>
      </w:tblGrid>
      <w:tr>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Item</w:t>
            </w:r>
          </w:p>
        </w:tc>
        <w:tc>
          <w:tcPr>
            <w:tcW w:type="dxa" w:w="25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Amount</w:t>
            </w:r>
          </w:p>
        </w:tc>
        <w:tc>
          <w:tcPr>
            <w:tcW w:type="dxa" w:w="39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exit_table }}</w:t>
            </w:r>
          </w:p>
        </w:tc>
        <w:tc>
          <w:tcPr>
            <w:tcW w:type="dxa" w:w="25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39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Disposition proceeds, loan payoff, equity return summary</w:t>
      </w:r>
    </w:p>
    <w:p>
      <w:pPr>
        <w:spacing w:after="120" w:before="40"/>
      </w:pPr>
      <w:r>
        <w:rPr>
          <w:rFonts w:ascii="Century Gothic" w:cs="Century Gothic" w:eastAsia="Century Gothic" w:hAnsi="Century Gothic"/>
          <w:b w:val="false"/>
          <w:bCs w:val="false"/>
          <w:i/>
          <w:iCs/>
          <w:color w:val="8B7355"/>
          <w:sz w:val="18"/>
          <w:szCs w:val="18"/>
        </w:rPr>
        <w:t xml:space="preserve">Source: DealDesk Underwriting Model  |  Contractor LOI  |  Title company estimates</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13</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DEBT &amp; CAPITAL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A6E50" w:sz="20"/>
              <w:bottom w:val="none" w:color="FFFFFF" w:sz="0"/>
              <w:right w:val="none" w:color="FFFFFF" w:sz="0"/>
            </w:tcBorders>
            <w:shd w:fill="B2C9B4" w:val="clear"/>
            <w:tcMar>
              <w:top w:type="dxa" w:w="120"/>
              <w:left w:type="dxa" w:w="200"/>
              <w:bottom w:type="dxa" w:w="120"/>
              <w:right w:type="dxa" w:w="160"/>
            </w:tcMar>
          </w:tcPr>
          <w:p>
            <w:pPr>
              <w:spacing w:after="0" w:before="0"/>
            </w:pPr>
            <w:r>
              <w:rPr>
                <w:rFonts w:ascii="Century Gothic" w:cs="Century Gothic" w:eastAsia="Century Gothic" w:hAnsi="Century Gothic"/>
                <w:color w:val="5C3D26"/>
                <w:sz w:val="22"/>
                <w:szCs w:val="22"/>
                <w:highlight w:val="yellow"/>
              </w:rPr>
              <w:t xml:space="preserve">{{ capital_structure_pullquote }}</w:t>
            </w:r>
          </w:p>
        </w:tc>
      </w:tr>
    </w:tbl>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13.1  Market Rate Context</w:t>
      </w:r>
    </w:p>
    <w:p>
      <w:pPr>
        <w:spacing w:after="140" w:before="0"/>
        <w:jc w:val="both"/>
      </w:pPr>
      <w:r>
        <w:rPr>
          <w:rFonts w:ascii="Century Gothic" w:cs="Century Gothic" w:eastAsia="Century Gothic" w:hAnsi="Century Gothic"/>
          <w:color w:val="5C3D26"/>
          <w:sz w:val="22"/>
          <w:szCs w:val="22"/>
          <w:highlight w:val="yellow"/>
        </w:rPr>
        <w:t xml:space="preserve">{{ debt_market_narrative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13.2  Capital Stack</w:t>
      </w:r>
    </w:p>
    <w:p>
      <w:pPr>
        <w:spacing w:after="140" w:before="0"/>
        <w:jc w:val="both"/>
      </w:pPr>
      <w:r>
        <w:rPr>
          <w:rFonts w:ascii="Century Gothic" w:cs="Century Gothic" w:eastAsia="Century Gothic" w:hAnsi="Century Gothic"/>
          <w:color w:val="5C3D26"/>
          <w:sz w:val="22"/>
          <w:szCs w:val="22"/>
          <w:highlight w:val="yellow"/>
        </w:rPr>
        <w:t xml:space="preserve">{{ capital_stack_narrative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capital_stack_diagram }}</w:t>
            </w:r>
          </w:p>
          <w:p>
            <w:pPr>
              <w:spacing w:after="0" w:before="0"/>
              <w:jc w:val="center"/>
            </w:pPr>
            <w:r>
              <w:rPr>
                <w:rFonts w:ascii="Century Gothic" w:cs="Century Gothic" w:eastAsia="Century Gothic" w:hAnsi="Century Gothic"/>
                <w:b w:val="false"/>
                <w:bCs w:val="false"/>
                <w:i/>
                <w:iCs/>
                <w:color w:val="8B7355"/>
                <w:sz w:val="18"/>
                <w:szCs w:val="18"/>
              </w:rPr>
              <w:t xml:space="preserve">Capital Stack Diagram — stacked bar + detail table (Senior Debt / Sponsor Equity)</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13.1 — Capital Stack  |  Source: DealDesk Underwriting Model</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13.3  Cash Waterfall &amp; Promote Structure</w:t>
      </w:r>
    </w:p>
    <w:p>
      <w:pPr>
        <w:spacing w:after="140" w:before="0"/>
        <w:jc w:val="both"/>
      </w:pPr>
      <w:r>
        <w:rPr>
          <w:rFonts w:ascii="Century Gothic" w:cs="Century Gothic" w:eastAsia="Century Gothic" w:hAnsi="Century Gothic"/>
          <w:color w:val="5C3D26"/>
          <w:sz w:val="22"/>
          <w:szCs w:val="22"/>
          <w:highlight w:val="yellow"/>
        </w:rPr>
        <w:t xml:space="preserve">{{ waterfall_narrative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2160"/>
        <w:gridCol w:w="2160"/>
      </w:tblGrid>
      <w:tr>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Tier</w:t>
            </w:r>
          </w:p>
        </w:tc>
        <w:tc>
          <w:tcPr>
            <w:tcW w:type="dxa" w:w="18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LP Return Hurdle</w:t>
            </w:r>
          </w:p>
        </w:tc>
        <w:tc>
          <w:tcPr>
            <w:tcW w:type="dxa" w:w="18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GP Promote</w:t>
            </w:r>
          </w:p>
        </w:tc>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LP Split</w:t>
            </w:r>
          </w:p>
        </w:tc>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GP Split</w:t>
            </w:r>
          </w:p>
        </w:tc>
      </w:tr>
      <w:tr>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waterfall_table }}</w:t>
            </w:r>
          </w:p>
        </w:tc>
        <w:tc>
          <w:tcPr>
            <w:tcW w:type="dxa" w:w="18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8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5-tier LP/GP promote structure</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13.4  Financing Options Comparison</w:t>
      </w:r>
    </w:p>
    <w:p>
      <w:pPr>
        <w:spacing w:after="140" w:before="0"/>
        <w:jc w:val="both"/>
      </w:pPr>
      <w:r>
        <w:rPr>
          <w:rFonts w:ascii="Century Gothic" w:cs="Century Gothic" w:eastAsia="Century Gothic" w:hAnsi="Century Gothic"/>
          <w:color w:val="5C3D26"/>
          <w:sz w:val="22"/>
          <w:szCs w:val="22"/>
          <w:highlight w:val="yellow"/>
        </w:rPr>
        <w:t xml:space="preserve">{{ debt_comparison_narrative }}</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debt_comparison_table }}</w:t>
            </w:r>
          </w:p>
          <w:p>
            <w:pPr>
              <w:spacing w:after="0" w:before="0"/>
              <w:jc w:val="center"/>
            </w:pPr>
            <w:r>
              <w:rPr>
                <w:rFonts w:ascii="Century Gothic" w:cs="Century Gothic" w:eastAsia="Century Gothic" w:hAnsi="Century Gothic"/>
                <w:b w:val="false"/>
                <w:bCs w:val="false"/>
                <w:i/>
                <w:iCs/>
                <w:color w:val="8B7355"/>
                <w:sz w:val="18"/>
                <w:szCs w:val="18"/>
              </w:rPr>
              <w:t xml:space="preserve">Financing Options — 3-option comparison: Bridge / Freddie Mac SBL / Debt Fund, ★ RECOMMENDED highlighted</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13.2 — Financing Options  |  Rates as of </w:t>
      </w:r>
      <w:r>
        <w:rPr>
          <w:rFonts w:ascii="Century Gothic" w:cs="Century Gothic" w:eastAsia="Century Gothic" w:hAnsi="Century Gothic"/>
          <w:color w:val="5C3D26"/>
          <w:sz w:val="22"/>
          <w:szCs w:val="22"/>
          <w:highlight w:val="yellow"/>
        </w:rPr>
        <w:t xml:space="preserve">{{ report_date }}</w:t>
      </w:r>
    </w:p>
    <w:p>
      <w:pPr>
        <w:spacing w:after="120" w:before="40"/>
      </w:pPr>
      <w:r>
        <w:rPr>
          <w:rFonts w:ascii="Century Gothic" w:cs="Century Gothic" w:eastAsia="Century Gothic" w:hAnsi="Century Gothic"/>
          <w:b w:val="false"/>
          <w:bCs w:val="false"/>
          <w:i/>
          <w:iCs/>
          <w:color w:val="8B7355"/>
          <w:sz w:val="18"/>
          <w:szCs w:val="18"/>
        </w:rPr>
        <w:t xml:space="preserve">Source: Freddie Mac SBL program guide  |  Lender term sheets  |  SOFR &amp; Treasury benchmark rates</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14</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ENVIRONMENTAL &amp; CLIMATE RISK ASSESSMENT</w:t>
      </w:r>
    </w:p>
    <w:p>
      <w:pPr>
        <w:spacing w:after="140" w:before="0"/>
        <w:jc w:val="both"/>
      </w:pPr>
      <w:r>
        <w:rPr>
          <w:rFonts w:ascii="Century Gothic" w:cs="Century Gothic" w:eastAsia="Century Gothic" w:hAnsi="Century Gothic"/>
          <w:color w:val="5C3D26"/>
          <w:sz w:val="22"/>
          <w:szCs w:val="22"/>
          <w:highlight w:val="yellow"/>
        </w:rPr>
        <w:t xml:space="preserve">{{ environmental_intro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14.1  Environmental Screening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520"/>
        <w:gridCol w:w="2880"/>
      </w:tblGrid>
      <w:tr>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Risk Factor</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c>
          <w:tcPr>
            <w:tcW w:type="dxa" w:w="25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Source</w:t>
            </w:r>
          </w:p>
        </w:tc>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Priority</w:t>
            </w:r>
          </w:p>
        </w:tc>
      </w:tr>
      <w:tr>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environmental_table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5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Environmental screening — EPA brownfields, Phase I status, contamination history</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14.2  Climate Risk Assessment</w:t>
      </w:r>
    </w:p>
    <w:p>
      <w:pPr>
        <w:spacing w:after="140" w:before="0"/>
        <w:jc w:val="both"/>
      </w:pPr>
      <w:r>
        <w:rPr>
          <w:rFonts w:ascii="Century Gothic" w:cs="Century Gothic" w:eastAsia="Century Gothic" w:hAnsi="Century Gothic"/>
          <w:color w:val="5C3D26"/>
          <w:sz w:val="22"/>
          <w:szCs w:val="22"/>
          <w:highlight w:val="yellow"/>
        </w:rPr>
        <w:t xml:space="preserve">{{ climate_risk_narrative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520"/>
        <w:gridCol w:w="2880"/>
      </w:tblGrid>
      <w:tr>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Hazard Type</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Risk Score</w:t>
            </w:r>
          </w:p>
        </w:tc>
        <w:tc>
          <w:tcPr>
            <w:tcW w:type="dxa" w:w="252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Data Source</w:t>
            </w:r>
          </w:p>
        </w:tc>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climate_risk_table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52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First Street Foundation scores — flood, fire, wind, heat, air quality</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14.3  Phase I / Phase II Status</w:t>
      </w:r>
    </w:p>
    <w:p>
      <w:pPr>
        <w:spacing w:after="140" w:before="0"/>
        <w:jc w:val="both"/>
      </w:pPr>
      <w:r>
        <w:rPr>
          <w:rFonts w:ascii="Century Gothic" w:cs="Century Gothic" w:eastAsia="Century Gothic" w:hAnsi="Century Gothic"/>
          <w:color w:val="5C3D26"/>
          <w:sz w:val="22"/>
          <w:szCs w:val="22"/>
          <w:highlight w:val="yellow"/>
        </w:rPr>
        <w:t xml:space="preserve">{{ phase_esa_narrative }}</w:t>
      </w:r>
    </w:p>
    <w:p>
      <w:pPr>
        <w:spacing w:after="120" w:before="40"/>
      </w:pPr>
      <w:r>
        <w:rPr>
          <w:rFonts w:ascii="Century Gothic" w:cs="Century Gothic" w:eastAsia="Century Gothic" w:hAnsi="Century Gothic"/>
          <w:b w:val="false"/>
          <w:bCs w:val="false"/>
          <w:i/>
          <w:iCs/>
          <w:color w:val="8B7355"/>
          <w:sz w:val="18"/>
          <w:szCs w:val="18"/>
        </w:rPr>
        <w:t xml:space="preserve">Source: EPA EnviroFacts (epa.gov/enviro)  |  EPA ACRES Brownfields  |  First Street Foundation (firststreet.org)  |  FEMA NFHL</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15</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LEGAL &amp; TITLE STATUS</w:t>
      </w:r>
    </w:p>
    <w:p>
      <w:pPr>
        <w:spacing w:after="140" w:before="0"/>
        <w:jc w:val="both"/>
      </w:pPr>
      <w:r>
        <w:rPr>
          <w:rFonts w:ascii="Century Gothic" w:cs="Century Gothic" w:eastAsia="Century Gothic" w:hAnsi="Century Gothic"/>
          <w:color w:val="5C3D26"/>
          <w:sz w:val="22"/>
          <w:szCs w:val="22"/>
          <w:highlight w:val="yellow"/>
        </w:rPr>
        <w:t xml:space="preserve">{{ legal_status_narrative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15.1  Title Search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240"/>
        <w:gridCol w:w="2880"/>
      </w:tblGrid>
      <w:tr>
        <w:tc>
          <w:tcPr>
            <w:tcW w:type="dxa" w:w="18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Item</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c>
          <w:tcPr>
            <w:tcW w:type="dxa" w:w="32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Detail</w:t>
            </w:r>
          </w:p>
        </w:tc>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Action Required</w:t>
            </w:r>
          </w:p>
        </w:tc>
      </w:tr>
      <w:tr>
        <w:tc>
          <w:tcPr>
            <w:tcW w:type="dxa" w:w="18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title_search_table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32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Title search findings — clear title, exceptions, commitments</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15.2  Outstanding Violations &amp; Permits</w:t>
      </w:r>
    </w:p>
    <w:p>
      <w:pPr>
        <w:spacing w:after="140" w:before="0"/>
        <w:jc w:val="both"/>
      </w:pPr>
      <w:r>
        <w:rPr>
          <w:rFonts w:ascii="Century Gothic" w:cs="Century Gothic" w:eastAsia="Century Gothic" w:hAnsi="Century Gothic"/>
          <w:color w:val="5C3D26"/>
          <w:sz w:val="22"/>
          <w:szCs w:val="22"/>
          <w:highlight w:val="yellow"/>
        </w:rPr>
        <w:t xml:space="preserve">{{ violations_narrative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2880"/>
        <w:gridCol w:w="1080"/>
        <w:gridCol w:w="2880"/>
      </w:tblGrid>
      <w:tr>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Date Issued</w:t>
            </w:r>
          </w:p>
        </w:tc>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Description</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Status</w:t>
            </w:r>
          </w:p>
        </w:tc>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Resolution</w:t>
            </w:r>
          </w:p>
        </w:tc>
      </w:tr>
      <w:tr>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violations_table }}</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Open L&amp;I violations, stop-work orders, outstanding permit approvals</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15.3  Zoning &amp; Regulatory Approvals Required</w:t>
      </w:r>
    </w:p>
    <w:p>
      <w:pPr>
        <w:spacing w:after="140" w:before="0"/>
        <w:jc w:val="both"/>
      </w:pPr>
      <w:r>
        <w:rPr>
          <w:rFonts w:ascii="Century Gothic" w:cs="Century Gothic" w:eastAsia="Century Gothic" w:hAnsi="Century Gothic"/>
          <w:color w:val="5C3D26"/>
          <w:sz w:val="22"/>
          <w:szCs w:val="22"/>
          <w:highlight w:val="yellow"/>
        </w:rPr>
        <w:t xml:space="preserve">{{ regulatory_approvals_narrative }}</w:t>
      </w:r>
    </w:p>
    <w:p>
      <w:pPr>
        <w:spacing w:after="120" w:before="40"/>
      </w:pPr>
      <w:r>
        <w:rPr>
          <w:rFonts w:ascii="Century Gothic" w:cs="Century Gothic" w:eastAsia="Century Gothic" w:hAnsi="Century Gothic"/>
          <w:b w:val="false"/>
          <w:bCs w:val="false"/>
          <w:i/>
          <w:iCs/>
          <w:color w:val="8B7355"/>
          <w:sz w:val="18"/>
          <w:szCs w:val="18"/>
        </w:rPr>
        <w:t xml:space="preserve">Source: Philadelphia Recorder of Deeds (philadox.phila.gov)  |  L&amp;I (li.phila.gov)  |  Title insurance commitment</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16</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DUE DILIGENCE FLAGS &amp; RISK ASSESSMENT</w:t>
      </w:r>
    </w:p>
    <w:p>
      <w:pPr>
        <w:spacing w:after="140" w:before="0"/>
        <w:jc w:val="both"/>
      </w:pPr>
      <w:r>
        <w:rPr>
          <w:rFonts w:ascii="Century Gothic" w:cs="Century Gothic" w:eastAsia="Century Gothic" w:hAnsi="Century Gothic"/>
          <w:color w:val="5C3D26"/>
          <w:sz w:val="22"/>
          <w:szCs w:val="22"/>
          <w:highlight w:val="yellow"/>
        </w:rPr>
        <w:t xml:space="preserve">{{ due_diligence_overview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16.1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risk_matrix_chart }}</w:t>
            </w:r>
          </w:p>
          <w:p>
            <w:pPr>
              <w:spacing w:after="0" w:before="0"/>
              <w:jc w:val="center"/>
            </w:pPr>
            <w:r>
              <w:rPr>
                <w:rFonts w:ascii="Century Gothic" w:cs="Century Gothic" w:eastAsia="Century Gothic" w:hAnsi="Century Gothic"/>
                <w:b w:val="false"/>
                <w:bCs w:val="false"/>
                <w:i/>
                <w:iCs/>
                <w:color w:val="8B7355"/>
                <w:sz w:val="18"/>
                <w:szCs w:val="18"/>
              </w:rPr>
              <w:t xml:space="preserve">Risk Matrix — 4×4 Likelihood × Impact scatter plot with numbered Risk Register + category color legend</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16.1 — Risk Matrix  |  Source: DealDesk qualitative risk assessment  |  </w:t>
      </w:r>
      <w:r>
        <w:rPr>
          <w:rFonts w:ascii="Century Gothic" w:cs="Century Gothic" w:eastAsia="Century Gothic" w:hAnsi="Century Gothic"/>
          <w:color w:val="5C3D26"/>
          <w:sz w:val="22"/>
          <w:szCs w:val="22"/>
          <w:highlight w:val="yellow"/>
        </w:rPr>
        <w:t xml:space="preserve">{{ report_date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16.2  Due Diligence Flag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80"/>
        <w:gridCol w:w="1380"/>
        <w:gridCol w:w="4000"/>
      </w:tblGrid>
      <w:tr>
        <w:tc>
          <w:tcPr>
            <w:tcW w:type="dxa" w:w="11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80"/>
            </w:tcMar>
          </w:tcPr>
          <w:p>
            <w:r>
              <w:rPr>
                <w:rFonts w:ascii="Century Gothic" w:cs="Century Gothic" w:eastAsia="Century Gothic" w:hAnsi="Century Gothic"/>
                <w:b/>
                <w:bCs/>
                <w:i w:val="false"/>
                <w:iCs w:val="false"/>
                <w:color w:val="FFFFFF"/>
                <w:sz w:val="18"/>
                <w:szCs w:val="18"/>
              </w:rPr>
              <w:t xml:space="preserve">PRIORITY</w:t>
            </w:r>
          </w:p>
        </w:tc>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80"/>
            </w:tcMar>
          </w:tcPr>
          <w:p>
            <w:r>
              <w:rPr>
                <w:rFonts w:ascii="Century Gothic" w:cs="Century Gothic" w:eastAsia="Century Gothic" w:hAnsi="Century Gothic"/>
                <w:b/>
                <w:bCs/>
                <w:i w:val="false"/>
                <w:iCs w:val="false"/>
                <w:color w:val="FFFFFF"/>
                <w:sz w:val="18"/>
                <w:szCs w:val="18"/>
              </w:rPr>
              <w:t xml:space="preserve">FLAG</w:t>
            </w:r>
          </w:p>
        </w:tc>
        <w:tc>
          <w:tcPr>
            <w:tcW w:type="dxa" w:w="13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80"/>
            </w:tcMar>
          </w:tcPr>
          <w:p>
            <w:r>
              <w:rPr>
                <w:rFonts w:ascii="Century Gothic" w:cs="Century Gothic" w:eastAsia="Century Gothic" w:hAnsi="Century Gothic"/>
                <w:b/>
                <w:bCs/>
                <w:i w:val="false"/>
                <w:iCs w:val="false"/>
                <w:color w:val="FFFFFF"/>
                <w:sz w:val="18"/>
                <w:szCs w:val="18"/>
              </w:rPr>
              <w:t xml:space="preserve">CATEGORY</w:t>
            </w:r>
          </w:p>
        </w:tc>
        <w:tc>
          <w:tcPr>
            <w:tcW w:type="dxa" w:w="40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80"/>
            </w:tcMar>
          </w:tcPr>
          <w:p>
            <w:r>
              <w:rPr>
                <w:rFonts w:ascii="Century Gothic" w:cs="Century Gothic" w:eastAsia="Century Gothic" w:hAnsi="Century Gothic"/>
                <w:b/>
                <w:bCs/>
                <w:i w:val="false"/>
                <w:iCs w:val="false"/>
                <w:color w:val="FFFFFF"/>
                <w:sz w:val="18"/>
                <w:szCs w:val="18"/>
              </w:rPr>
              <w:t xml:space="preserve">RECOMMENDED ACTION</w:t>
            </w:r>
          </w:p>
        </w:tc>
      </w:tr>
      <w:tr>
        <w:tc>
          <w:tcPr>
            <w:tcW w:type="dxa" w:w="1100"/>
            <w:tcBorders>
              <w:top w:val="single" w:color="D8D4CC" w:sz="2"/>
              <w:left w:val="single" w:color="D8D4CC" w:sz="2"/>
              <w:bottom w:val="single" w:color="D8D4CC" w:sz="2"/>
              <w:right w:val="single" w:color="D8D4CC" w:sz="2"/>
            </w:tcBorders>
            <w:shd w:fill="FCEAEA" w:val="clear"/>
            <w:tcMar>
              <w:top w:type="dxa" w:w="80"/>
              <w:left w:type="dxa" w:w="100"/>
              <w:bottom w:type="dxa" w:w="80"/>
              <w:right w:type="dxa" w:w="80"/>
            </w:tcMar>
          </w:tcPr>
          <w:p>
            <w:r>
              <w:rPr>
                <w:rFonts w:ascii="Century Gothic" w:cs="Century Gothic" w:eastAsia="Century Gothic" w:hAnsi="Century Gothic"/>
                <w:b/>
                <w:bCs/>
                <w:i w:val="false"/>
                <w:iCs w:val="false"/>
                <w:color w:val="C0392B"/>
                <w:sz w:val="18"/>
                <w:szCs w:val="18"/>
              </w:rPr>
              <w:t xml:space="preserve">🔴  RED</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1100"/>
            <w:tcBorders>
              <w:top w:val="single" w:color="D8D4CC" w:sz="2"/>
              <w:left w:val="single" w:color="D8D4CC" w:sz="2"/>
              <w:bottom w:val="single" w:color="D8D4CC" w:sz="2"/>
              <w:right w:val="single" w:color="D8D4CC" w:sz="2"/>
            </w:tcBorders>
            <w:shd w:fill="FCEAEA" w:val="clear"/>
            <w:tcMar>
              <w:top w:type="dxa" w:w="80"/>
              <w:left w:type="dxa" w:w="100"/>
              <w:bottom w:type="dxa" w:w="80"/>
              <w:right w:type="dxa" w:w="80"/>
            </w:tcMar>
          </w:tcPr>
          <w:p>
            <w:r>
              <w:rPr>
                <w:rFonts w:ascii="Century Gothic" w:cs="Century Gothic" w:eastAsia="Century Gothic" w:hAnsi="Century Gothic"/>
                <w:b/>
                <w:bCs/>
                <w:i w:val="false"/>
                <w:iCs w:val="false"/>
                <w:color w:val="C0392B"/>
                <w:sz w:val="18"/>
                <w:szCs w:val="18"/>
              </w:rPr>
              <w:t xml:space="preserve">🔴  RED</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1100"/>
            <w:tcBorders>
              <w:top w:val="single" w:color="D8D4CC" w:sz="2"/>
              <w:left w:val="single" w:color="D8D4CC" w:sz="2"/>
              <w:bottom w:val="single" w:color="D8D4CC" w:sz="2"/>
              <w:right w:val="single" w:color="D8D4CC" w:sz="2"/>
            </w:tcBorders>
            <w:shd w:fill="FCEAEA" w:val="clear"/>
            <w:tcMar>
              <w:top w:type="dxa" w:w="80"/>
              <w:left w:type="dxa" w:w="100"/>
              <w:bottom w:type="dxa" w:w="80"/>
              <w:right w:type="dxa" w:w="80"/>
            </w:tcMar>
          </w:tcPr>
          <w:p>
            <w:r>
              <w:rPr>
                <w:rFonts w:ascii="Century Gothic" w:cs="Century Gothic" w:eastAsia="Century Gothic" w:hAnsi="Century Gothic"/>
                <w:b/>
                <w:bCs/>
                <w:i w:val="false"/>
                <w:iCs w:val="false"/>
                <w:color w:val="C0392B"/>
                <w:sz w:val="18"/>
                <w:szCs w:val="18"/>
              </w:rPr>
              <w:t xml:space="preserve">🔴  RED</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1100"/>
            <w:tcBorders>
              <w:top w:val="single" w:color="D8D4CC" w:sz="2"/>
              <w:left w:val="single" w:color="D8D4CC" w:sz="2"/>
              <w:bottom w:val="single" w:color="D8D4CC" w:sz="2"/>
              <w:right w:val="single" w:color="D8D4CC" w:sz="2"/>
            </w:tcBorders>
            <w:shd w:fill="FEF3E2" w:val="clear"/>
            <w:tcMar>
              <w:top w:type="dxa" w:w="80"/>
              <w:left w:type="dxa" w:w="100"/>
              <w:bottom w:type="dxa" w:w="80"/>
              <w:right w:type="dxa" w:w="80"/>
            </w:tcMar>
          </w:tcPr>
          <w:p>
            <w:r>
              <w:rPr>
                <w:rFonts w:ascii="Century Gothic" w:cs="Century Gothic" w:eastAsia="Century Gothic" w:hAnsi="Century Gothic"/>
                <w:b/>
                <w:bCs/>
                <w:i w:val="false"/>
                <w:iCs w:val="false"/>
                <w:color w:val="D4720A"/>
                <w:sz w:val="18"/>
                <w:szCs w:val="18"/>
              </w:rPr>
              <w:t xml:space="preserve">🟡  YELLOW</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1100"/>
            <w:tcBorders>
              <w:top w:val="single" w:color="D8D4CC" w:sz="2"/>
              <w:left w:val="single" w:color="D8D4CC" w:sz="2"/>
              <w:bottom w:val="single" w:color="D8D4CC" w:sz="2"/>
              <w:right w:val="single" w:color="D8D4CC" w:sz="2"/>
            </w:tcBorders>
            <w:shd w:fill="FEF3E2" w:val="clear"/>
            <w:tcMar>
              <w:top w:type="dxa" w:w="80"/>
              <w:left w:type="dxa" w:w="100"/>
              <w:bottom w:type="dxa" w:w="80"/>
              <w:right w:type="dxa" w:w="80"/>
            </w:tcMar>
          </w:tcPr>
          <w:p>
            <w:r>
              <w:rPr>
                <w:rFonts w:ascii="Century Gothic" w:cs="Century Gothic" w:eastAsia="Century Gothic" w:hAnsi="Century Gothic"/>
                <w:b/>
                <w:bCs/>
                <w:i w:val="false"/>
                <w:iCs w:val="false"/>
                <w:color w:val="D4720A"/>
                <w:sz w:val="18"/>
                <w:szCs w:val="18"/>
              </w:rPr>
              <w:t xml:space="preserve">🟡  YELLOW</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1100"/>
            <w:tcBorders>
              <w:top w:val="single" w:color="D8D4CC" w:sz="2"/>
              <w:left w:val="single" w:color="D8D4CC" w:sz="2"/>
              <w:bottom w:val="single" w:color="D8D4CC" w:sz="2"/>
              <w:right w:val="single" w:color="D8D4CC" w:sz="2"/>
            </w:tcBorders>
            <w:shd w:fill="FEF3E2" w:val="clear"/>
            <w:tcMar>
              <w:top w:type="dxa" w:w="80"/>
              <w:left w:type="dxa" w:w="100"/>
              <w:bottom w:type="dxa" w:w="80"/>
              <w:right w:type="dxa" w:w="80"/>
            </w:tcMar>
          </w:tcPr>
          <w:p>
            <w:r>
              <w:rPr>
                <w:rFonts w:ascii="Century Gothic" w:cs="Century Gothic" w:eastAsia="Century Gothic" w:hAnsi="Century Gothic"/>
                <w:b/>
                <w:bCs/>
                <w:i w:val="false"/>
                <w:iCs w:val="false"/>
                <w:color w:val="D4720A"/>
                <w:sz w:val="18"/>
                <w:szCs w:val="18"/>
              </w:rPr>
              <w:t xml:space="preserve">🟡  YELLOW</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1100"/>
            <w:tcBorders>
              <w:top w:val="single" w:color="D8D4CC" w:sz="2"/>
              <w:left w:val="single" w:color="D8D4CC" w:sz="2"/>
              <w:bottom w:val="single" w:color="D8D4CC" w:sz="2"/>
              <w:right w:val="single" w:color="D8D4CC" w:sz="2"/>
            </w:tcBorders>
            <w:shd w:fill="FEF3E2" w:val="clear"/>
            <w:tcMar>
              <w:top w:type="dxa" w:w="80"/>
              <w:left w:type="dxa" w:w="100"/>
              <w:bottom w:type="dxa" w:w="80"/>
              <w:right w:type="dxa" w:w="80"/>
            </w:tcMar>
          </w:tcPr>
          <w:p>
            <w:r>
              <w:rPr>
                <w:rFonts w:ascii="Century Gothic" w:cs="Century Gothic" w:eastAsia="Century Gothic" w:hAnsi="Century Gothic"/>
                <w:b/>
                <w:bCs/>
                <w:i w:val="false"/>
                <w:iCs w:val="false"/>
                <w:color w:val="D4720A"/>
                <w:sz w:val="18"/>
                <w:szCs w:val="18"/>
              </w:rPr>
              <w:t xml:space="preserve">🟡  YELLOW</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1100"/>
            <w:tcBorders>
              <w:top w:val="single" w:color="D8D4CC" w:sz="2"/>
              <w:left w:val="single" w:color="D8D4CC" w:sz="2"/>
              <w:bottom w:val="single" w:color="D8D4CC" w:sz="2"/>
              <w:right w:val="single" w:color="D8D4CC" w:sz="2"/>
            </w:tcBorders>
            <w:shd w:fill="B2C9B4" w:val="clear"/>
            <w:tcMar>
              <w:top w:type="dxa" w:w="80"/>
              <w:left w:type="dxa" w:w="100"/>
              <w:bottom w:type="dxa" w:w="80"/>
              <w:right w:type="dxa" w:w="80"/>
            </w:tcMar>
          </w:tcPr>
          <w:p>
            <w:r>
              <w:rPr>
                <w:rFonts w:ascii="Century Gothic" w:cs="Century Gothic" w:eastAsia="Century Gothic" w:hAnsi="Century Gothic"/>
                <w:b/>
                <w:bCs/>
                <w:i w:val="false"/>
                <w:iCs w:val="false"/>
                <w:color w:val="2E7D32"/>
                <w:sz w:val="18"/>
                <w:szCs w:val="18"/>
              </w:rPr>
              <w:t xml:space="preserve">🟢  GREEN</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1100"/>
            <w:tcBorders>
              <w:top w:val="single" w:color="D8D4CC" w:sz="2"/>
              <w:left w:val="single" w:color="D8D4CC" w:sz="2"/>
              <w:bottom w:val="single" w:color="D8D4CC" w:sz="2"/>
              <w:right w:val="single" w:color="D8D4CC" w:sz="2"/>
            </w:tcBorders>
            <w:shd w:fill="B2C9B4" w:val="clear"/>
            <w:tcMar>
              <w:top w:type="dxa" w:w="80"/>
              <w:left w:type="dxa" w:w="100"/>
              <w:bottom w:type="dxa" w:w="80"/>
              <w:right w:type="dxa" w:w="80"/>
            </w:tcMar>
          </w:tcPr>
          <w:p>
            <w:r>
              <w:rPr>
                <w:rFonts w:ascii="Century Gothic" w:cs="Century Gothic" w:eastAsia="Century Gothic" w:hAnsi="Century Gothic"/>
                <w:b/>
                <w:bCs/>
                <w:i w:val="false"/>
                <w:iCs w:val="false"/>
                <w:color w:val="2E7D32"/>
                <w:sz w:val="18"/>
                <w:szCs w:val="18"/>
              </w:rPr>
              <w:t xml:space="preserve">🟢  GREEN</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1100"/>
            <w:tcBorders>
              <w:top w:val="single" w:color="D8D4CC" w:sz="2"/>
              <w:left w:val="single" w:color="D8D4CC" w:sz="2"/>
              <w:bottom w:val="single" w:color="D8D4CC" w:sz="2"/>
              <w:right w:val="single" w:color="D8D4CC" w:sz="2"/>
            </w:tcBorders>
            <w:shd w:fill="B2C9B4" w:val="clear"/>
            <w:tcMar>
              <w:top w:type="dxa" w:w="80"/>
              <w:left w:type="dxa" w:w="100"/>
              <w:bottom w:type="dxa" w:w="80"/>
              <w:right w:type="dxa" w:w="80"/>
            </w:tcMar>
          </w:tcPr>
          <w:p>
            <w:r>
              <w:rPr>
                <w:rFonts w:ascii="Century Gothic" w:cs="Century Gothic" w:eastAsia="Century Gothic" w:hAnsi="Century Gothic"/>
                <w:b/>
                <w:bCs/>
                <w:i w:val="false"/>
                <w:iCs w:val="false"/>
                <w:color w:val="2E7D32"/>
                <w:sz w:val="18"/>
                <w:szCs w:val="18"/>
              </w:rPr>
              <w:t xml:space="preserve">🟢  GREEN</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1100"/>
            <w:tcBorders>
              <w:top w:val="single" w:color="D8D4CC" w:sz="2"/>
              <w:left w:val="single" w:color="D8D4CC" w:sz="2"/>
              <w:bottom w:val="single" w:color="D8D4CC" w:sz="2"/>
              <w:right w:val="single" w:color="D8D4CC" w:sz="2"/>
            </w:tcBorders>
            <w:shd w:fill="B2C9B4" w:val="clear"/>
            <w:tcMar>
              <w:top w:type="dxa" w:w="80"/>
              <w:left w:type="dxa" w:w="100"/>
              <w:bottom w:type="dxa" w:w="80"/>
              <w:right w:type="dxa" w:w="80"/>
            </w:tcMar>
          </w:tcPr>
          <w:p>
            <w:r>
              <w:rPr>
                <w:rFonts w:ascii="Century Gothic" w:cs="Century Gothic" w:eastAsia="Century Gothic" w:hAnsi="Century Gothic"/>
                <w:b/>
                <w:bCs/>
                <w:i w:val="false"/>
                <w:iCs w:val="false"/>
                <w:color w:val="2E7D32"/>
                <w:sz w:val="18"/>
                <w:szCs w:val="18"/>
              </w:rPr>
              <w:t xml:space="preserve">🟢  GREEN</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1100"/>
            <w:tcBorders>
              <w:top w:val="single" w:color="D8D4CC" w:sz="2"/>
              <w:left w:val="single" w:color="D8D4CC" w:sz="2"/>
              <w:bottom w:val="single" w:color="D8D4CC" w:sz="2"/>
              <w:right w:val="single" w:color="D8D4CC" w:sz="2"/>
            </w:tcBorders>
            <w:shd w:fill="B2C9B4" w:val="clear"/>
            <w:tcMar>
              <w:top w:type="dxa" w:w="80"/>
              <w:left w:type="dxa" w:w="100"/>
              <w:bottom w:type="dxa" w:w="80"/>
              <w:right w:type="dxa" w:w="80"/>
            </w:tcMar>
          </w:tcPr>
          <w:p>
            <w:r>
              <w:rPr>
                <w:rFonts w:ascii="Century Gothic" w:cs="Century Gothic" w:eastAsia="Century Gothic" w:hAnsi="Century Gothic"/>
                <w:b/>
                <w:bCs/>
                <w:i w:val="false"/>
                <w:iCs w:val="false"/>
                <w:color w:val="2E7D32"/>
                <w:sz w:val="18"/>
                <w:szCs w:val="18"/>
              </w:rPr>
              <w:t xml:space="preserve">🟢  GREEN</w:t>
            </w:r>
          </w:p>
        </w:tc>
        <w:tc>
          <w:tcPr>
            <w:tcW w:type="dxa" w:w="28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138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c>
          <w:tcPr>
            <w:tcW w:type="dxa" w:w="3640"/>
            <w:tcBorders>
              <w:top w:val="single" w:color="D8D4CC" w:sz="2"/>
              <w:left w:val="single" w:color="D8D4CC" w:sz="2"/>
              <w:bottom w:val="single" w:color="D8D4CC" w:sz="2"/>
              <w:right w:val="single" w:color="D8D4CC" w:sz="2"/>
            </w:tcBorders>
            <w:shd w:fill="F5EFE4" w:val="clear"/>
            <w:tcMar>
              <w:top w:type="dxa" w:w="80"/>
              <w:left w:type="dxa" w:w="100"/>
              <w:bottom w:type="dxa" w:w="80"/>
              <w:right w:type="dxa" w:w="8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16.3  Insurance Analysis</w:t>
      </w:r>
    </w:p>
    <w:p>
      <w:pPr>
        <w:spacing w:after="80" w:before="0"/>
      </w:pPr>
      <w:r>
        <w:rPr>
          <w:rFonts w:ascii="Century Gothic" w:cs="Century Gothic" w:eastAsia="Century Gothic" w:hAnsi="Century Gothic"/>
          <w:b w:val="false"/>
          <w:bCs w:val="false"/>
          <w:i/>
          <w:iCs/>
          <w:color w:val="8B7355"/>
          <w:sz w:val="20"/>
          <w:szCs w:val="20"/>
        </w:rPr>
        <w:t xml:space="preserve">Coverage Assessment  ·  Cost Benchmarks  ·  Risk Flags</w:t>
      </w:r>
    </w:p>
    <w:p>
      <w:pPr>
        <w:spacing w:after="140" w:before="0"/>
        <w:jc w:val="both"/>
      </w:pPr>
      <w:r>
        <w:rPr>
          <w:rFonts w:ascii="Century Gothic" w:cs="Century Gothic" w:eastAsia="Century Gothic" w:hAnsi="Century Gothic"/>
          <w:color w:val="5C3D26"/>
          <w:sz w:val="22"/>
          <w:szCs w:val="22"/>
          <w:highlight w:val="yellow"/>
        </w:rPr>
        <w:t xml:space="preserve">{{ insurance_narrative_p1 }}</w:t>
      </w:r>
    </w:p>
    <w:p>
      <w:pPr>
        <w:spacing w:after="140" w:before="0"/>
        <w:jc w:val="both"/>
      </w:pPr>
      <w:r>
        <w:rPr>
          <w:rFonts w:ascii="Century Gothic" w:cs="Century Gothic" w:eastAsia="Century Gothic" w:hAnsi="Century Gothic"/>
          <w:color w:val="5C3D26"/>
          <w:sz w:val="22"/>
          <w:szCs w:val="22"/>
          <w:highlight w:val="yellow"/>
        </w:rPr>
        <w:t xml:space="preserve">{{ insurance_narrative_p2 }}</w:t>
      </w:r>
    </w:p>
    <w:p>
      <w:pPr>
        <w:spacing w:after="140" w:before="0"/>
        <w:jc w:val="both"/>
      </w:pPr>
      <w:r>
        <w:rPr>
          <w:rFonts w:ascii="Century Gothic" w:cs="Century Gothic" w:eastAsia="Century Gothic" w:hAnsi="Century Gothic"/>
          <w:color w:val="5C3D26"/>
          <w:sz w:val="22"/>
          <w:szCs w:val="22"/>
          <w:highlight w:val="yellow"/>
        </w:rPr>
        <w:t xml:space="preserve">{{ insurance_narrative_p3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insurance_kpi_strip }}</w:t>
            </w:r>
          </w:p>
          <w:p>
            <w:pPr>
              <w:spacing w:after="0" w:before="0"/>
              <w:jc w:val="center"/>
            </w:pPr>
            <w:r>
              <w:rPr>
                <w:rFonts w:ascii="Century Gothic" w:cs="Century Gothic" w:eastAsia="Century Gothic" w:hAnsi="Century Gothic"/>
                <w:b w:val="false"/>
                <w:bCs w:val="false"/>
                <w:i/>
                <w:iCs/>
                <w:color w:val="8B7355"/>
                <w:sz w:val="18"/>
                <w:szCs w:val="18"/>
              </w:rPr>
              <w:t xml:space="preserve">Insurance KPI Strip — 4 cards: Total Annual Cost, Per-Unit, Per-SF, Pro Forma Line Item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1080"/>
        <w:gridCol w:w="1080"/>
        <w:gridCol w:w="1080"/>
        <w:gridCol w:w="3060"/>
      </w:tblGrid>
      <w:tr>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Coverage</w:t>
            </w:r>
          </w:p>
        </w:tc>
        <w:tc>
          <w:tcPr>
            <w:tcW w:type="dxa" w:w="9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Type</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Annual Low</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Annual High</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Pro Forma</w:t>
            </w:r>
          </w:p>
        </w:tc>
        <w:tc>
          <w:tcPr>
            <w:tcW w:type="dxa" w:w="30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Notes</w:t>
            </w:r>
          </w:p>
        </w:tc>
      </w:tr>
      <w:tr>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insurance_summary_table }}</w:t>
            </w:r>
          </w:p>
        </w:tc>
        <w:tc>
          <w:tcPr>
            <w:tcW w:type="dxa" w:w="9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30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Insurance cost rollup — all coverage categories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Borders>
              <w:top w:val="none" w:color="FFFFFF" w:sz="0"/>
              <w:left w:val="single" w:color="4A6E50" w:sz="20"/>
              <w:bottom w:val="none" w:color="FFFFFF" w:sz="0"/>
              <w:right w:val="none" w:color="FFFFFF" w:sz="0"/>
            </w:tcBorders>
            <w:shd w:fill="B2C9B4" w:val="clear"/>
            <w:tcMar>
              <w:top w:type="dxa" w:w="100"/>
              <w:left w:type="dxa" w:w="200"/>
              <w:bottom w:type="dxa" w:w="100"/>
              <w:right w:type="dxa" w:w="120"/>
            </w:tcMar>
          </w:tcPr>
          <w:p>
            <w:r>
              <w:rPr>
                <w:rFonts w:ascii="Century Gothic" w:cs="Century Gothic" w:eastAsia="Century Gothic" w:hAnsi="Century Gothic"/>
                <w:b w:val="false"/>
                <w:bCs w:val="false"/>
                <w:i w:val="false"/>
                <w:iCs w:val="false"/>
                <w:color w:val="2C1F14"/>
                <w:sz w:val="20"/>
                <w:szCs w:val="20"/>
              </w:rPr>
              <w:t xml:space="preserve">Recommended Pro Forma Insurance Line Item (recurring, stabilized):</w:t>
            </w:r>
          </w:p>
        </w:tc>
        <w:tc>
          <w:tcPr>
            <w:tcBorders>
              <w:top w:val="none" w:color="FFFFFF" w:sz="0"/>
              <w:left w:val="none" w:color="FFFFFF" w:sz="0"/>
              <w:bottom w:val="none" w:color="FFFFFF" w:sz="0"/>
              <w:right w:val="single" w:color="4A6E50" w:sz="8"/>
            </w:tcBorders>
            <w:shd w:fill="B2C9B4" w:val="clear"/>
            <w:tcMar>
              <w:top w:type="dxa" w:w="100"/>
              <w:left w:type="dxa" w:w="120"/>
              <w:bottom w:type="dxa" w:w="100"/>
              <w:right w:type="dxa" w:w="120"/>
            </w:tcMar>
          </w:tcPr>
          <w:p>
            <w:pPr>
              <w:jc w:val="right"/>
            </w:pPr>
            <w:r>
              <w:rPr>
                <w:rFonts w:ascii="Century Gothic" w:cs="Century Gothic" w:eastAsia="Century Gothic" w:hAnsi="Century Gothic"/>
                <w:color w:val="5C3D26"/>
                <w:sz w:val="22"/>
                <w:szCs w:val="22"/>
                <w:highlight w:val="yellow"/>
              </w:rPr>
              <w:t xml:space="preserve">{{ insurance_proforma_line_item }}</w:t>
            </w:r>
          </w:p>
        </w:tc>
      </w:tr>
    </w:tbl>
    <w:p>
      <w:pPr>
        <w:spacing w:after="120" w:before="40"/>
      </w:pPr>
      <w:r>
        <w:rPr>
          <w:rFonts w:ascii="Century Gothic" w:cs="Century Gothic" w:eastAsia="Century Gothic" w:hAnsi="Century Gothic"/>
          <w:b w:val="false"/>
          <w:bCs w:val="false"/>
          <w:i/>
          <w:iCs/>
          <w:color w:val="8B7355"/>
          <w:sz w:val="18"/>
          <w:szCs w:val="18"/>
        </w:rPr>
        <w:t xml:space="preserve">Source: DealDesk due diligence analysis  |  RS Means 2025  |  Marshall &amp; Swift  |  ISO commercial lines  |  Ironshore / AIG  |  {{ report_date }}</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17</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DUE DILIGENCE CHECKLIST &amp; STATUS TRACKER</w:t>
      </w:r>
    </w:p>
    <w:p>
      <w:pPr>
        <w:spacing w:after="140" w:before="0"/>
        <w:jc w:val="both"/>
      </w:pPr>
      <w:r>
        <w:rPr>
          <w:rFonts w:ascii="Century Gothic" w:cs="Century Gothic" w:eastAsia="Century Gothic" w:hAnsi="Century Gothic"/>
          <w:color w:val="5C3D26"/>
          <w:sz w:val="22"/>
          <w:szCs w:val="22"/>
          <w:highlight w:val="yellow"/>
        </w:rPr>
        <w:t xml:space="preserve">{{ dd_checklist_intro }}</w:t>
      </w:r>
    </w:p>
    <w:p>
      <w:pPr>
        <w:spacing w:after="80" w:before="0"/>
      </w:pPr>
    </w:p>
    <w:p>
      <w:pPr>
        <w:pStyle w:val="Heading3"/>
        <w:spacing w:after="60" w:before="160"/>
      </w:pPr>
      <w:r>
        <w:rPr>
          <w:rFonts w:ascii="Century Gothic" w:cs="Century Gothic" w:eastAsia="Century Gothic" w:hAnsi="Century Gothic"/>
          <w:b/>
          <w:bCs/>
          <w:i w:val="false"/>
          <w:iCs w:val="false"/>
          <w:color w:val="2C1F14"/>
          <w:sz w:val="22"/>
          <w:szCs w:val="22"/>
        </w:rPr>
        <w:t xml:space="preserve">Physical &amp;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080"/>
        <w:gridCol w:w="1440"/>
        <w:gridCol w:w="2080"/>
      </w:tblGrid>
      <w:tr>
        <w:tc>
          <w:tcPr>
            <w:tcW w:type="dxa" w:w="57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ITEM</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STATUS</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DUE DATE</w:t>
            </w:r>
          </w:p>
        </w:tc>
        <w:tc>
          <w:tcPr>
            <w:tcW w:type="dxa" w:w="2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ASSIGNED TO / NOTES</w:t>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Phase I Environmental Site Assessment</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Property Condition Assessment (PCA)</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ALTA/NSPS Land Title Survey</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Structural Engineering Report</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Roof Inspection</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MEP Systems Evaluation</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ADA Compliance Review</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Pest / Termite Inspection</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80" w:before="0"/>
      </w:pPr>
    </w:p>
    <w:p>
      <w:pPr>
        <w:pStyle w:val="Heading3"/>
        <w:spacing w:after="60" w:before="160"/>
      </w:pPr>
      <w:r>
        <w:rPr>
          <w:rFonts w:ascii="Century Gothic" w:cs="Century Gothic" w:eastAsia="Century Gothic" w:hAnsi="Century Gothic"/>
          <w:b/>
          <w:bCs/>
          <w:i w:val="false"/>
          <w:iCs w:val="false"/>
          <w:color w:val="2C1F14"/>
          <w:sz w:val="22"/>
          <w:szCs w:val="22"/>
        </w:rPr>
        <w:t xml:space="preserve">Legal &amp;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080"/>
        <w:gridCol w:w="1440"/>
        <w:gridCol w:w="2080"/>
      </w:tblGrid>
      <w:tr>
        <w:tc>
          <w:tcPr>
            <w:tcW w:type="dxa" w:w="57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ITEM</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STATUS</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DUE DATE</w:t>
            </w:r>
          </w:p>
        </w:tc>
        <w:tc>
          <w:tcPr>
            <w:tcW w:type="dxa" w:w="2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ASSIGNED TO / NOTES</w:t>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Title commitment / preliminary report</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UCC lien searches</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Corporate entity verification (owner)</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Existing lease review</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HOA / CC&amp;R review (if applicable)</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Zoning / variance confirmation letter</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Open violations search (L&amp;I)</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Pending litigation search</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80" w:before="0"/>
      </w:pPr>
    </w:p>
    <w:p>
      <w:pPr>
        <w:pStyle w:val="Heading3"/>
        <w:spacing w:after="60" w:before="160"/>
      </w:pPr>
      <w:r>
        <w:rPr>
          <w:rFonts w:ascii="Century Gothic" w:cs="Century Gothic" w:eastAsia="Century Gothic" w:hAnsi="Century Gothic"/>
          <w:b/>
          <w:bCs/>
          <w:i w:val="false"/>
          <w:iCs w:val="false"/>
          <w:color w:val="2C1F14"/>
          <w:sz w:val="22"/>
          <w:szCs w:val="22"/>
        </w:rPr>
        <w:t xml:space="preserve">Financial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080"/>
        <w:gridCol w:w="1440"/>
        <w:gridCol w:w="2080"/>
      </w:tblGrid>
      <w:tr>
        <w:tc>
          <w:tcPr>
            <w:tcW w:type="dxa" w:w="57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ITEM</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STATUS</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DUE DATE</w:t>
            </w:r>
          </w:p>
        </w:tc>
        <w:tc>
          <w:tcPr>
            <w:tcW w:type="dxa" w:w="2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ASSIGNED TO / NOTES</w:t>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T-12 operating statements</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Last 3 years of tax returns</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Current rent roll with lease abstracts</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Utility bills (12 months)</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Property tax bills and assessment history</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Existing service contracts</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Capital expenditure history</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Insurance policies in force</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80" w:before="0"/>
      </w:pPr>
    </w:p>
    <w:p>
      <w:pPr>
        <w:pStyle w:val="Heading3"/>
        <w:spacing w:after="60" w:before="160"/>
      </w:pPr>
      <w:r>
        <w:rPr>
          <w:rFonts w:ascii="Century Gothic" w:cs="Century Gothic" w:eastAsia="Century Gothic" w:hAnsi="Century Gothic"/>
          <w:b/>
          <w:bCs/>
          <w:i w:val="false"/>
          <w:iCs w:val="false"/>
          <w:color w:val="2C1F14"/>
          <w:sz w:val="22"/>
          <w:szCs w:val="22"/>
        </w:rPr>
        <w:t xml:space="preserve">Market &amp; Regulatory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080"/>
        <w:gridCol w:w="1440"/>
        <w:gridCol w:w="2080"/>
      </w:tblGrid>
      <w:tr>
        <w:tc>
          <w:tcPr>
            <w:tcW w:type="dxa" w:w="57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ITEM</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STATUS</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DUE DATE</w:t>
            </w:r>
          </w:p>
        </w:tc>
        <w:tc>
          <w:tcPr>
            <w:tcW w:type="dxa" w:w="2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r>
              <w:rPr>
                <w:rFonts w:ascii="Century Gothic" w:cs="Century Gothic" w:eastAsia="Century Gothic" w:hAnsi="Century Gothic"/>
                <w:b/>
                <w:bCs/>
                <w:i w:val="false"/>
                <w:iCs w:val="false"/>
                <w:color w:val="FFFFFF"/>
                <w:sz w:val="18"/>
                <w:szCs w:val="18"/>
              </w:rPr>
              <w:t xml:space="preserve">ASSIGNED TO / NOTES</w:t>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Zoning code printout and confirmation</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Building permit history</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Historic designation confirmation</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OZ tract verification</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Tax abatement eligibility confirmation</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Flood zone certification (LOMA if applicable)</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Environmental databases (EPA / state)</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r>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Local market rent comps (CoStar via Shonda)</w:t>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8B7355"/>
                <w:sz w:val="20"/>
                <w:szCs w:val="20"/>
              </w:rPr>
              <w:t xml:space="preserve">[ ]</w:t>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80" w:before="0"/>
      </w:pPr>
    </w:p>
    <w:p>
      <w:pPr>
        <w:spacing w:after="120" w:before="40"/>
      </w:pPr>
      <w:r>
        <w:rPr>
          <w:rFonts w:ascii="Century Gothic" w:cs="Century Gothic" w:eastAsia="Century Gothic" w:hAnsi="Century Gothic"/>
          <w:b w:val="false"/>
          <w:bCs w:val="false"/>
          <w:i/>
          <w:iCs/>
          <w:color w:val="8B7355"/>
          <w:sz w:val="18"/>
          <w:szCs w:val="18"/>
        </w:rPr>
        <w:t xml:space="preserve">Source: DealDesk due diligence standard checklist  |  ASTM E1527-21 (Phase I)  |  ALTA/NSPS survey standards</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18</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PROJECT TIMELINE &amp; MILESTONE SCHEDULE</w:t>
      </w:r>
    </w:p>
    <w:p>
      <w:pPr>
        <w:spacing w:after="140" w:before="0"/>
        <w:jc w:val="both"/>
      </w:pPr>
      <w:r>
        <w:rPr>
          <w:rFonts w:ascii="Century Gothic" w:cs="Century Gothic" w:eastAsia="Century Gothic" w:hAnsi="Century Gothic"/>
          <w:color w:val="5C3D26"/>
          <w:sz w:val="22"/>
          <w:szCs w:val="22"/>
          <w:highlight w:val="yellow"/>
        </w:rPr>
        <w:t xml:space="preserve">{{ timeline_narrative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Milestone Schedule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1080"/>
        <w:gridCol w:w="900"/>
        <w:gridCol w:w="1980"/>
        <w:gridCol w:w="1440"/>
      </w:tblGrid>
      <w:tr>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Phase</w:t>
            </w:r>
          </w:p>
        </w:tc>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Milestone</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Target Date</w:t>
            </w:r>
          </w:p>
        </w:tc>
        <w:tc>
          <w:tcPr>
            <w:tcW w:type="dxa" w:w="9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Duration</w:t>
            </w:r>
          </w:p>
        </w:tc>
        <w:tc>
          <w:tcPr>
            <w:tcW w:type="dxa" w:w="19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Dependencies</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Owner</w:t>
            </w:r>
          </w:p>
        </w:tc>
      </w:tr>
      <w:tr>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timeline_table }}</w:t>
            </w:r>
          </w:p>
        </w:tc>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9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9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Full project timeline — due diligence, closing, construction, lease-up, stabilization, exit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360" w:hRule="exact"/>
        </w:trPr>
        <w:tc>
          <w:tcPr>
            <w:tcW w:type="dxa" w:w="9360"/>
            <w:tcBorders>
              <w:top w:val="single" w:color="D8D4CC" w:sz="2"/>
              <w:left w:val="single" w:color="D8D4CC" w:sz="2"/>
              <w:bottom w:val="single" w:color="D8D4CC" w:sz="2"/>
              <w:right w:val="single" w:color="D8D4CC" w:sz="2"/>
            </w:tcBorders>
            <w:shd w:fill="B2C9B4" w:val="clear"/>
            <w:tcMar>
              <w:top w:type="dxa" w:w="120"/>
              <w:left w:type="dxa" w:w="160"/>
              <w:bottom w:type="dxa" w:w="120"/>
              <w:right w:type="dxa" w:w="160"/>
            </w:tcMar>
            <w:vAlign w:val="center"/>
          </w:tcPr>
          <w:p>
            <w:pPr>
              <w:spacing w:after="60" w:before="0"/>
              <w:jc w:val="center"/>
            </w:pPr>
            <w:r>
              <w:rPr>
                <w:rFonts w:ascii="Century Gothic" w:cs="Century Gothic" w:eastAsia="Century Gothic" w:hAnsi="Century Gothic"/>
                <w:b/>
                <w:bCs/>
                <w:i w:val="false"/>
                <w:iCs w:val="false"/>
                <w:color w:val="4A6E50"/>
                <w:sz w:val="20"/>
                <w:szCs w:val="20"/>
              </w:rPr>
              <w:t xml:space="preserve">{{ timeline_gantt }}</w:t>
            </w:r>
          </w:p>
          <w:p>
            <w:pPr>
              <w:spacing w:after="0" w:before="0"/>
              <w:jc w:val="center"/>
            </w:pPr>
            <w:r>
              <w:rPr>
                <w:rFonts w:ascii="Century Gothic" w:cs="Century Gothic" w:eastAsia="Century Gothic" w:hAnsi="Century Gothic"/>
                <w:b w:val="false"/>
                <w:bCs w:val="false"/>
                <w:i/>
                <w:iCs/>
                <w:color w:val="8B7355"/>
                <w:sz w:val="18"/>
                <w:szCs w:val="18"/>
              </w:rPr>
              <w:t xml:space="preserve">Gantt Chart — visual project timeline from LOI to exit (generated if dates are present in deal data)</w:t>
            </w:r>
          </w:p>
        </w:tc>
      </w:tr>
    </w:tbl>
    <w:p>
      <w:pPr>
        <w:spacing w:after="80" w:before="60"/>
        <w:jc w:val="center"/>
      </w:pPr>
      <w:r>
        <w:rPr>
          <w:rFonts w:ascii="Century Gothic" w:cs="Century Gothic" w:eastAsia="Century Gothic" w:hAnsi="Century Gothic"/>
          <w:b w:val="false"/>
          <w:bCs w:val="false"/>
          <w:i/>
          <w:iCs/>
          <w:color w:val="8B7355"/>
          <w:sz w:val="18"/>
          <w:szCs w:val="18"/>
        </w:rPr>
        <w:t xml:space="preserve">Figure 18.1 — Project Timeline  |  Source: DealDesk Underwriting Model</w:t>
      </w:r>
    </w:p>
    <w:p>
      <w:pPr>
        <w:spacing w:after="120" w:before="40"/>
      </w:pPr>
      <w:r>
        <w:rPr>
          <w:rFonts w:ascii="Century Gothic" w:cs="Century Gothic" w:eastAsia="Century Gothic" w:hAnsi="Century Gothic"/>
          <w:b w:val="false"/>
          <w:bCs w:val="false"/>
          <w:i/>
          <w:iCs/>
          <w:color w:val="8B7355"/>
          <w:sz w:val="18"/>
          <w:szCs w:val="18"/>
        </w:rPr>
        <w:t xml:space="preserve">Source: DealDesk project schedule  |  Contractor LOI  |  Lender estimated close timelines</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19</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INVESTMENT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A6E50" w:sz="20"/>
              <w:bottom w:val="none" w:color="FFFFFF" w:sz="0"/>
              <w:right w:val="none" w:color="FFFFFF" w:sz="0"/>
            </w:tcBorders>
            <w:shd w:fill="B2C9B4" w:val="clear"/>
            <w:tcMar>
              <w:top w:type="dxa" w:w="120"/>
              <w:left w:type="dxa" w:w="200"/>
              <w:bottom w:type="dxa" w:w="120"/>
              <w:right w:type="dxa" w:w="160"/>
            </w:tcMar>
          </w:tcPr>
          <w:p>
            <w:pPr>
              <w:spacing w:after="0" w:before="0"/>
            </w:pPr>
            <w:r>
              <w:rPr>
                <w:rFonts w:ascii="Century Gothic" w:cs="Century Gothic" w:eastAsia="Century Gothic" w:hAnsi="Century Gothic"/>
                <w:color w:val="5C3D26"/>
                <w:sz w:val="22"/>
                <w:szCs w:val="22"/>
                <w:highlight w:val="yellow"/>
              </w:rPr>
              <w:t xml:space="preserve">{{ recommendation_pullquote }}</w:t>
            </w:r>
          </w:p>
        </w:tc>
      </w:tr>
    </w:tbl>
    <w:p>
      <w:pPr>
        <w:spacing w:after="80" w:before="0"/>
      </w:pPr>
    </w:p>
    <w:p>
      <w:pPr>
        <w:spacing w:after="140" w:before="0"/>
        <w:jc w:val="both"/>
      </w:pPr>
      <w:r>
        <w:rPr>
          <w:rFonts w:ascii="Century Gothic" w:cs="Century Gothic" w:eastAsia="Century Gothic" w:hAnsi="Century Gothic"/>
          <w:color w:val="5C3D26"/>
          <w:sz w:val="22"/>
          <w:szCs w:val="22"/>
          <w:highlight w:val="yellow"/>
        </w:rPr>
        <w:t xml:space="preserve">{{ recommendation_narrative_p1 }}</w:t>
      </w:r>
    </w:p>
    <w:p>
      <w:pPr>
        <w:spacing w:after="140" w:before="0"/>
        <w:jc w:val="both"/>
      </w:pPr>
      <w:r>
        <w:rPr>
          <w:rFonts w:ascii="Century Gothic" w:cs="Century Gothic" w:eastAsia="Century Gothic" w:hAnsi="Century Gothic"/>
          <w:color w:val="5C3D26"/>
          <w:sz w:val="22"/>
          <w:szCs w:val="22"/>
          <w:highlight w:val="yellow"/>
        </w:rPr>
        <w:t xml:space="preserve">{{ recommendation_narrative_p2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Scenario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700"/>
        <w:gridCol w:w="2340"/>
      </w:tblGrid>
      <w:tr>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Metric</w:t>
            </w:r>
          </w:p>
        </w:tc>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Scenario A — Base</w:t>
            </w:r>
          </w:p>
        </w:tc>
        <w:tc>
          <w:tcPr>
            <w:tcW w:type="dxa" w:w="270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Scenario B — Conservative</w:t>
            </w:r>
          </w:p>
        </w:tc>
        <w:tc>
          <w:tcPr>
            <w:tcW w:type="dxa" w:w="23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Threshold</w:t>
            </w:r>
          </w:p>
        </w:tc>
      </w:tr>
      <w:tr>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scenario_comparison_table }}</w:t>
            </w:r>
          </w:p>
        </w:tc>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70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23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Scenario A vs. B — 9 key return metrics</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Go / No-Go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760"/>
        <w:gridCol w:w="1440"/>
      </w:tblGrid>
      <w:tr>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Criterion</w:t>
            </w:r>
          </w:p>
        </w:tc>
        <w:tc>
          <w:tcPr>
            <w:tcW w:type="dxa" w:w="57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Assessment</w:t>
            </w:r>
          </w:p>
        </w:tc>
        <w:tc>
          <w:tcPr>
            <w:tcW w:type="dxa" w:w="144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Verdict</w:t>
            </w:r>
          </w:p>
        </w:tc>
      </w:tr>
      <w:tr>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go_nogo_table }}</w:t>
            </w:r>
          </w:p>
        </w:tc>
        <w:tc>
          <w:tcPr>
            <w:tcW w:type="dxa" w:w="57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44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5-criterion pass/fail Go/No-Go assessment</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Key Risks</w:t>
      </w:r>
    </w:p>
    <w:p>
      <w:pPr>
        <w:spacing w:after="80" w:before="0"/>
        <w:ind w:left="360"/>
      </w:pPr>
      <w:r>
        <w:rPr>
          <w:rFonts w:ascii="Century Gothic" w:cs="Century Gothic" w:eastAsia="Century Gothic" w:hAnsi="Century Gothic"/>
          <w:b/>
          <w:bCs/>
          <w:i w:val="false"/>
          <w:iCs w:val="false"/>
          <w:color w:val="C0392B"/>
          <w:sz w:val="22"/>
          <w:szCs w:val="22"/>
        </w:rPr>
        <w:t xml:space="preserve">→  </w:t>
      </w:r>
      <w:r>
        <w:rPr>
          <w:rFonts w:ascii="Century Gothic" w:cs="Century Gothic" w:eastAsia="Century Gothic" w:hAnsi="Century Gothic"/>
          <w:color w:val="5C3D26"/>
          <w:sz w:val="22"/>
          <w:szCs w:val="22"/>
          <w:highlight w:val="yellow"/>
        </w:rPr>
        <w:t xml:space="preserve">{{ risk_1 }}</w:t>
      </w:r>
    </w:p>
    <w:p>
      <w:pPr>
        <w:spacing w:after="80" w:before="0"/>
        <w:ind w:left="360"/>
      </w:pPr>
      <w:r>
        <w:rPr>
          <w:rFonts w:ascii="Century Gothic" w:cs="Century Gothic" w:eastAsia="Century Gothic" w:hAnsi="Century Gothic"/>
          <w:b/>
          <w:bCs/>
          <w:i w:val="false"/>
          <w:iCs w:val="false"/>
          <w:color w:val="C0392B"/>
          <w:sz w:val="22"/>
          <w:szCs w:val="22"/>
        </w:rPr>
        <w:t xml:space="preserve">→  </w:t>
      </w:r>
      <w:r>
        <w:rPr>
          <w:rFonts w:ascii="Century Gothic" w:cs="Century Gothic" w:eastAsia="Century Gothic" w:hAnsi="Century Gothic"/>
          <w:color w:val="5C3D26"/>
          <w:sz w:val="22"/>
          <w:szCs w:val="22"/>
          <w:highlight w:val="yellow"/>
        </w:rPr>
        <w:t xml:space="preserve">{{ risk_2 }}</w:t>
      </w:r>
    </w:p>
    <w:p>
      <w:pPr>
        <w:spacing w:after="80" w:before="0"/>
        <w:ind w:left="360"/>
      </w:pPr>
      <w:r>
        <w:rPr>
          <w:rFonts w:ascii="Century Gothic" w:cs="Century Gothic" w:eastAsia="Century Gothic" w:hAnsi="Century Gothic"/>
          <w:b/>
          <w:bCs/>
          <w:i w:val="false"/>
          <w:iCs w:val="false"/>
          <w:color w:val="C0392B"/>
          <w:sz w:val="22"/>
          <w:szCs w:val="22"/>
        </w:rPr>
        <w:t xml:space="preserve">→  </w:t>
      </w:r>
      <w:r>
        <w:rPr>
          <w:rFonts w:ascii="Century Gothic" w:cs="Century Gothic" w:eastAsia="Century Gothic" w:hAnsi="Century Gothic"/>
          <w:color w:val="5C3D26"/>
          <w:sz w:val="22"/>
          <w:szCs w:val="22"/>
          <w:highlight w:val="yellow"/>
        </w:rPr>
        <w:t xml:space="preserve">{{ risk_3 }}</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20</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CONCLUSIONS &amp; NEXT STEPS</w:t>
      </w:r>
    </w:p>
    <w:p>
      <w:pPr>
        <w:spacing w:after="140" w:before="0"/>
        <w:jc w:val="both"/>
      </w:pPr>
      <w:r>
        <w:rPr>
          <w:rFonts w:ascii="Century Gothic" w:cs="Century Gothic" w:eastAsia="Century Gothic" w:hAnsi="Century Gothic"/>
          <w:color w:val="5C3D26"/>
          <w:sz w:val="22"/>
          <w:szCs w:val="22"/>
          <w:highlight w:val="yellow"/>
        </w:rPr>
        <w:t xml:space="preserve">{{ conclusion_1 }}</w:t>
      </w:r>
    </w:p>
    <w:p>
      <w:pPr>
        <w:spacing w:after="40" w:before="0"/>
      </w:pPr>
    </w:p>
    <w:p>
      <w:pPr>
        <w:spacing w:after="140" w:before="0"/>
        <w:jc w:val="both"/>
      </w:pPr>
      <w:r>
        <w:rPr>
          <w:rFonts w:ascii="Century Gothic" w:cs="Century Gothic" w:eastAsia="Century Gothic" w:hAnsi="Century Gothic"/>
          <w:color w:val="5C3D26"/>
          <w:sz w:val="22"/>
          <w:szCs w:val="22"/>
          <w:highlight w:val="yellow"/>
        </w:rPr>
        <w:t xml:space="preserve">{{ conclusion_2 }}</w:t>
      </w:r>
    </w:p>
    <w:p>
      <w:pPr>
        <w:spacing w:after="40" w:before="0"/>
      </w:pPr>
    </w:p>
    <w:p>
      <w:pPr>
        <w:spacing w:after="140" w:before="0"/>
        <w:jc w:val="both"/>
      </w:pPr>
      <w:r>
        <w:rPr>
          <w:rFonts w:ascii="Century Gothic" w:cs="Century Gothic" w:eastAsia="Century Gothic" w:hAnsi="Century Gothic"/>
          <w:color w:val="5C3D26"/>
          <w:sz w:val="22"/>
          <w:szCs w:val="22"/>
          <w:highlight w:val="yellow"/>
        </w:rPr>
        <w:t xml:space="preserve">{{ conclusion_3 }}</w:t>
      </w:r>
    </w:p>
    <w:p>
      <w:pPr>
        <w:spacing w:after="40" w:before="0"/>
      </w:pPr>
    </w:p>
    <w:p>
      <w:pPr>
        <w:spacing w:after="140" w:before="0"/>
        <w:jc w:val="both"/>
      </w:pPr>
      <w:r>
        <w:rPr>
          <w:rFonts w:ascii="Century Gothic" w:cs="Century Gothic" w:eastAsia="Century Gothic" w:hAnsi="Century Gothic"/>
          <w:color w:val="5C3D26"/>
          <w:sz w:val="22"/>
          <w:szCs w:val="22"/>
          <w:highlight w:val="yellow"/>
        </w:rPr>
        <w:t xml:space="preserve">{{ conclusion_4 }}</w:t>
      </w:r>
    </w:p>
    <w:p>
      <w:pPr>
        <w:spacing w:after="40" w:before="0"/>
      </w:pPr>
    </w:p>
    <w:p>
      <w:pPr>
        <w:spacing w:after="140" w:before="0"/>
        <w:jc w:val="both"/>
      </w:pPr>
      <w:r>
        <w:rPr>
          <w:rFonts w:ascii="Century Gothic" w:cs="Century Gothic" w:eastAsia="Century Gothic" w:hAnsi="Century Gothic"/>
          <w:color w:val="5C3D26"/>
          <w:sz w:val="22"/>
          <w:szCs w:val="22"/>
          <w:highlight w:val="yellow"/>
        </w:rPr>
        <w:t xml:space="preserve">{{ conclusion_5 }}</w:t>
      </w:r>
    </w:p>
    <w:p>
      <w:pPr>
        <w:spacing w:after="40" w:before="0"/>
      </w:pP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Prioritized Next Steps</w:t>
      </w:r>
    </w:p>
    <w:p>
      <w:pPr>
        <w:spacing w:after="80" w:before="0"/>
        <w:ind w:left="360"/>
      </w:pPr>
      <w:r>
        <w:rPr>
          <w:rFonts w:ascii="Century Gothic" w:cs="Century Gothic" w:eastAsia="Century Gothic" w:hAnsi="Century Gothic"/>
          <w:b/>
          <w:bCs/>
          <w:i w:val="false"/>
          <w:iCs w:val="false"/>
          <w:color w:val="4A6E50"/>
          <w:sz w:val="22"/>
          <w:szCs w:val="22"/>
        </w:rPr>
        <w:t xml:space="preserve">1.  </w:t>
      </w:r>
      <w:r>
        <w:rPr>
          <w:rFonts w:ascii="Century Gothic" w:cs="Century Gothic" w:eastAsia="Century Gothic" w:hAnsi="Century Gothic"/>
          <w:color w:val="5C3D26"/>
          <w:sz w:val="22"/>
          <w:szCs w:val="22"/>
          <w:highlight w:val="yellow"/>
        </w:rPr>
        <w:t xml:space="preserve">{{ next_step_1 }}</w:t>
      </w:r>
    </w:p>
    <w:p>
      <w:pPr>
        <w:spacing w:after="80" w:before="0"/>
        <w:ind w:left="360"/>
      </w:pPr>
      <w:r>
        <w:rPr>
          <w:rFonts w:ascii="Century Gothic" w:cs="Century Gothic" w:eastAsia="Century Gothic" w:hAnsi="Century Gothic"/>
          <w:b/>
          <w:bCs/>
          <w:i w:val="false"/>
          <w:iCs w:val="false"/>
          <w:color w:val="4A6E50"/>
          <w:sz w:val="22"/>
          <w:szCs w:val="22"/>
        </w:rPr>
        <w:t xml:space="preserve">2.  </w:t>
      </w:r>
      <w:r>
        <w:rPr>
          <w:rFonts w:ascii="Century Gothic" w:cs="Century Gothic" w:eastAsia="Century Gothic" w:hAnsi="Century Gothic"/>
          <w:color w:val="5C3D26"/>
          <w:sz w:val="22"/>
          <w:szCs w:val="22"/>
          <w:highlight w:val="yellow"/>
        </w:rPr>
        <w:t xml:space="preserve">{{ next_step_2 }}</w:t>
      </w:r>
    </w:p>
    <w:p>
      <w:pPr>
        <w:spacing w:after="80" w:before="0"/>
        <w:ind w:left="360"/>
      </w:pPr>
      <w:r>
        <w:rPr>
          <w:rFonts w:ascii="Century Gothic" w:cs="Century Gothic" w:eastAsia="Century Gothic" w:hAnsi="Century Gothic"/>
          <w:b/>
          <w:bCs/>
          <w:i w:val="false"/>
          <w:iCs w:val="false"/>
          <w:color w:val="4A6E50"/>
          <w:sz w:val="22"/>
          <w:szCs w:val="22"/>
        </w:rPr>
        <w:t xml:space="preserve">3.  </w:t>
      </w:r>
      <w:r>
        <w:rPr>
          <w:rFonts w:ascii="Century Gothic" w:cs="Century Gothic" w:eastAsia="Century Gothic" w:hAnsi="Century Gothic"/>
          <w:color w:val="5C3D26"/>
          <w:sz w:val="22"/>
          <w:szCs w:val="22"/>
          <w:highlight w:val="yellow"/>
        </w:rPr>
        <w:t xml:space="preserve">{{ next_step_3 }}</w:t>
      </w:r>
    </w:p>
    <w:p>
      <w:pPr>
        <w:spacing w:after="80" w:before="0"/>
        <w:ind w:left="360"/>
      </w:pPr>
      <w:r>
        <w:rPr>
          <w:rFonts w:ascii="Century Gothic" w:cs="Century Gothic" w:eastAsia="Century Gothic" w:hAnsi="Century Gothic"/>
          <w:b/>
          <w:bCs/>
          <w:i w:val="false"/>
          <w:iCs w:val="false"/>
          <w:color w:val="4A6E50"/>
          <w:sz w:val="22"/>
          <w:szCs w:val="22"/>
        </w:rPr>
        <w:t xml:space="preserve">4.  </w:t>
      </w:r>
      <w:r>
        <w:rPr>
          <w:rFonts w:ascii="Century Gothic" w:cs="Century Gothic" w:eastAsia="Century Gothic" w:hAnsi="Century Gothic"/>
          <w:color w:val="5C3D26"/>
          <w:sz w:val="22"/>
          <w:szCs w:val="22"/>
          <w:highlight w:val="yellow"/>
        </w:rPr>
        <w:t xml:space="preserve">{{ next_step_4 }}</w:t>
      </w:r>
    </w:p>
    <w:p>
      <w:pPr>
        <w:spacing w:after="80" w:before="0"/>
        <w:ind w:left="360"/>
      </w:pPr>
      <w:r>
        <w:rPr>
          <w:rFonts w:ascii="Century Gothic" w:cs="Century Gothic" w:eastAsia="Century Gothic" w:hAnsi="Century Gothic"/>
          <w:b/>
          <w:bCs/>
          <w:i w:val="false"/>
          <w:iCs w:val="false"/>
          <w:color w:val="4A6E50"/>
          <w:sz w:val="22"/>
          <w:szCs w:val="22"/>
        </w:rPr>
        <w:t xml:space="preserve">5.  </w:t>
      </w:r>
      <w:r>
        <w:rPr>
          <w:rFonts w:ascii="Century Gothic" w:cs="Century Gothic" w:eastAsia="Century Gothic" w:hAnsi="Century Gothic"/>
          <w:color w:val="5C3D26"/>
          <w:sz w:val="22"/>
          <w:szCs w:val="22"/>
          <w:highlight w:val="yellow"/>
        </w:rPr>
        <w:t xml:space="preserve">{{ next_step_5 }}</w:t>
      </w:r>
    </w:p>
    <w:p>
      <w:pPr>
        <w:spacing w:after="80" w:before="0"/>
        <w:ind w:left="360"/>
      </w:pPr>
      <w:r>
        <w:rPr>
          <w:rFonts w:ascii="Century Gothic" w:cs="Century Gothic" w:eastAsia="Century Gothic" w:hAnsi="Century Gothic"/>
          <w:b/>
          <w:bCs/>
          <w:i w:val="false"/>
          <w:iCs w:val="false"/>
          <w:color w:val="4A6E50"/>
          <w:sz w:val="22"/>
          <w:szCs w:val="22"/>
        </w:rPr>
        <w:t xml:space="preserve">6.  </w:t>
      </w:r>
      <w:r>
        <w:rPr>
          <w:rFonts w:ascii="Century Gothic" w:cs="Century Gothic" w:eastAsia="Century Gothic" w:hAnsi="Century Gothic"/>
          <w:color w:val="5C3D26"/>
          <w:sz w:val="22"/>
          <w:szCs w:val="22"/>
          <w:highlight w:val="yellow"/>
        </w:rPr>
        <w:t xml:space="preserve">{{ next_step_6 }}</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A6E50" w:sz="20"/>
              <w:bottom w:val="none" w:color="FFFFFF" w:sz="0"/>
              <w:right w:val="none" w:color="FFFFFF" w:sz="0"/>
            </w:tcBorders>
            <w:shd w:fill="B2C9B4" w:val="clear"/>
            <w:tcMar>
              <w:top w:type="dxa" w:w="120"/>
              <w:left w:type="dxa" w:w="200"/>
              <w:bottom w:type="dxa" w:w="120"/>
              <w:right w:type="dxa" w:w="160"/>
            </w:tcMar>
          </w:tcPr>
          <w:p>
            <w:pPr>
              <w:spacing w:after="0" w:before="0"/>
            </w:pPr>
            <w:r>
              <w:rPr>
                <w:rFonts w:ascii="Century Gothic" w:cs="Century Gothic" w:eastAsia="Century Gothic" w:hAnsi="Century Gothic"/>
                <w:color w:val="5C3D26"/>
                <w:sz w:val="22"/>
                <w:szCs w:val="22"/>
                <w:highlight w:val="yellow"/>
              </w:rPr>
              <w:t xml:space="preserve">{{ bottom_line }}</w:t>
            </w:r>
          </w:p>
        </w:tc>
      </w:tr>
    </w:tbl>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21</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DISCLAIMER &amp; CERTIFICATION</w:t>
      </w: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Disclaimer</w:t>
      </w:r>
    </w:p>
    <w:p>
      <w:pPr>
        <w:spacing w:after="140" w:before="0"/>
        <w:jc w:val="both"/>
      </w:pPr>
      <w:r>
        <w:rPr>
          <w:rFonts w:ascii="Century Gothic" w:cs="Century Gothic" w:eastAsia="Century Gothic" w:hAnsi="Century Gothic"/>
          <w:b w:val="false"/>
          <w:bCs w:val="false"/>
          <w:i w:val="false"/>
          <w:iCs w:val="false"/>
          <w:color w:val="2C1F14"/>
          <w:sz w:val="22"/>
          <w:szCs w:val="22"/>
        </w:rPr>
        <w:t xml:space="preserve">This Investment Underwriting Report is prepared exclusively for the internal use of DealDesk and its authorized representatives. All projections, valuations, financial analyses, and market assessments contained herein are based on assumptions and data that DealDesk believes to be reliable and reasonable, but which cannot be guaranteed. Actual results may differ materially from those projected. This report does not constitute legal, tax, or investment advice, nor an offer to sell or solicitation to purchase any security or investment product. Reproduction or distribution of this report, in whole or in part, without the prior written consent of DealDesk CRE Underwriting is strictly prohibited.</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Certification</w:t>
      </w:r>
    </w:p>
    <w:p>
      <w:pPr>
        <w:spacing w:after="140" w:before="0"/>
      </w:pPr>
      <w:r>
        <w:rPr>
          <w:rFonts w:ascii="Century Gothic" w:cs="Century Gothic" w:eastAsia="Century Gothic" w:hAnsi="Century Gothic"/>
          <w:b w:val="false"/>
          <w:bCs w:val="false"/>
          <w:i w:val="false"/>
          <w:iCs w:val="false"/>
          <w:color w:val="2C1F14"/>
          <w:sz w:val="22"/>
          <w:szCs w:val="22"/>
        </w:rPr>
        <w:t xml:space="preserve">I certify that this underwriting report has been prepared in accordance with DealDesk standard underwriting guidelines and that all data, assumptions, and analyses have been reviewed for accuracy and completeness to the best of my knowledge.</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Field</w:t>
            </w:r>
          </w:p>
        </w:tc>
        <w:tc>
          <w:tcPr>
            <w:tcW w:type="dxa" w:w="64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Detail</w:t>
            </w:r>
          </w:p>
        </w:tc>
      </w:tr>
      <w:tr>
        <w:tc>
          <w:tcPr>
            <w:tcW w:type="dxa" w:w="28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certification_table }}</w:t>
            </w:r>
          </w:p>
        </w:tc>
        <w:tc>
          <w:tcPr>
            <w:tcW w:type="dxa" w:w="64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Preparer name, title, date, review status, IC presentation date</w:t>
      </w:r>
    </w:p>
    <w:p>
      <w:r>
        <w:br/>
      </w:r>
    </w:p>
    <w:p>
      <w:pPr>
        <w:spacing w:after="80" w:before="0"/>
      </w:pPr>
    </w:p>
    <w:p>
      <w:pPr>
        <w:pStyle w:val="Heading1"/>
        <w:spacing w:after="0" w:before="0"/>
      </w:pPr>
      <w:r>
        <w:rPr>
          <w:rFonts w:ascii="Century Gothic" w:cs="Century Gothic" w:eastAsia="Century Gothic" w:hAnsi="Century Gothic"/>
          <w:b/>
          <w:bCs/>
          <w:i w:val="false"/>
          <w:iCs w:val="false"/>
          <w:color w:val="B2C9B4"/>
          <w:sz w:val="96"/>
          <w:szCs w:val="96"/>
        </w:rPr>
        <w:t xml:space="preserve">22</w:t>
      </w:r>
    </w:p>
    <w:p>
      <w:pPr>
        <w:pBdr>
          <w:bottom w:val="single" w:color="4A6E50" w:sz="8" w:space="4"/>
        </w:pBdr>
        <w:spacing w:after="60" w:before="60"/>
      </w:pPr>
    </w:p>
    <w:p>
      <w:pPr>
        <w:pStyle w:val="Heading1"/>
        <w:spacing w:after="160" w:before="80"/>
      </w:pPr>
      <w:r>
        <w:rPr>
          <w:rFonts w:ascii="Century Gothic" w:cs="Century Gothic" w:eastAsia="Century Gothic" w:hAnsi="Century Gothic"/>
          <w:b/>
          <w:bCs/>
          <w:i w:val="false"/>
          <w:iCs w:val="false"/>
          <w:color w:val="2C1F14"/>
          <w:sz w:val="32"/>
          <w:szCs w:val="32"/>
        </w:rPr>
        <w:t xml:space="preserve">APPENDIX A: DATA SOURCES &amp; METHODOLOGY</w:t>
      </w: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Data Sources &amp;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080"/>
        <w:gridCol w:w="3960"/>
      </w:tblGrid>
      <w:tr>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Data Element</w:t>
            </w:r>
          </w:p>
        </w:tc>
        <w:tc>
          <w:tcPr>
            <w:tcW w:type="dxa" w:w="21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Source</w:t>
            </w:r>
          </w:p>
        </w:tc>
        <w:tc>
          <w:tcPr>
            <w:tcW w:type="dxa" w:w="108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Date Pulled</w:t>
            </w:r>
          </w:p>
        </w:tc>
        <w:tc>
          <w:tcPr>
            <w:tcW w:type="dxa" w:w="3960"/>
            <w:tcBorders>
              <w:top w:val="single" w:color="D8D4CC" w:sz="2"/>
              <w:left w:val="single" w:color="D8D4CC" w:sz="2"/>
              <w:bottom w:val="single" w:color="D8D4CC" w:sz="2"/>
              <w:right w:val="single" w:color="D8D4CC" w:sz="2"/>
            </w:tcBorders>
            <w:shd w:fill="2C1F14" w:val="clear"/>
            <w:tcMar>
              <w:top w:type="dxa" w:w="80"/>
              <w:left w:type="dxa" w:w="120"/>
              <w:bottom w:type="dxa" w:w="80"/>
              <w:right w:type="dxa" w:w="120"/>
            </w:tcMar>
          </w:tcPr>
          <w:p>
            <w:pPr>
              <w:jc w:val="left"/>
            </w:pPr>
            <w:r>
              <w:rPr>
                <w:rFonts w:ascii="Century Gothic" w:cs="Century Gothic" w:eastAsia="Century Gothic" w:hAnsi="Century Gothic"/>
                <w:b/>
                <w:bCs/>
                <w:i w:val="false"/>
                <w:iCs w:val="false"/>
                <w:color w:val="FFFFFF"/>
                <w:sz w:val="18"/>
                <w:szCs w:val="18"/>
              </w:rPr>
              <w:t xml:space="preserve">URL / Reference</w:t>
            </w:r>
          </w:p>
        </w:tc>
      </w:tr>
      <w:tr>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color w:val="5C3D26"/>
                <w:sz w:val="22"/>
                <w:szCs w:val="22"/>
                <w:highlight w:val="yellow"/>
              </w:rPr>
              <w:t xml:space="preserve">{{ data_provenance_table }}</w:t>
            </w:r>
          </w:p>
        </w:tc>
        <w:tc>
          <w:tcPr>
            <w:tcW w:type="dxa" w:w="21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108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c>
          <w:tcPr>
            <w:tcW w:type="dxa" w:w="3960"/>
            <w:tcBorders>
              <w:top w:val="single" w:color="D8D4CC" w:sz="2"/>
              <w:left w:val="single" w:color="D8D4CC" w:sz="2"/>
              <w:bottom w:val="single" w:color="D8D4CC" w:sz="2"/>
              <w:right w:val="single" w:color="D8D4CC" w:sz="2"/>
            </w:tcBorders>
            <w:shd w:fill="F5EFE4" w:val="clear"/>
            <w:tcMar>
              <w:top w:type="dxa" w:w="80"/>
              <w:left w:type="dxa" w:w="120"/>
              <w:bottom w:type="dxa" w:w="80"/>
              <w:right w:type="dxa" w:w="120"/>
            </w:tcMar>
          </w:tcPr>
          <w:p>
            <w:r>
              <w:rPr>
                <w:rFonts w:ascii="Century Gothic" w:cs="Century Gothic" w:eastAsia="Century Gothic" w:hAnsi="Century Gothic"/>
                <w:b w:val="false"/>
                <w:bCs w:val="false"/>
                <w:i w:val="false"/>
                <w:iCs w:val="false"/>
                <w:color w:val="2C1F14"/>
                <w:sz w:val="20"/>
                <w:szCs w:val="20"/>
              </w:rPr>
              <w:t xml:space="preserve"/>
            </w:r>
          </w:p>
        </w:tc>
      </w:tr>
    </w:tbl>
    <w:p>
      <w:pPr>
        <w:spacing w:after="120" w:before="60"/>
        <w:jc w:val="center"/>
      </w:pPr>
      <w:r>
        <w:rPr>
          <w:rFonts w:ascii="Century Gothic" w:cs="Century Gothic" w:eastAsia="Century Gothic" w:hAnsi="Century Gothic"/>
          <w:b w:val="false"/>
          <w:bCs w:val="false"/>
          <w:i/>
          <w:iCs/>
          <w:color w:val="8B7355"/>
          <w:sz w:val="18"/>
          <w:szCs w:val="18"/>
        </w:rPr>
        <w:t xml:space="preserve">↑  Complete data provenance — all pipeline sources including market.py / Prompt 4-MASTER, Prompt 5A (Monte Carlo), Prompt 5B (debt market), and Prompt 4B (insurance)</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Methodology Notes</w:t>
      </w:r>
    </w:p>
    <w:p>
      <w:pPr>
        <w:spacing w:after="140" w:before="0"/>
        <w:jc w:val="both"/>
      </w:pPr>
      <w:r>
        <w:rPr>
          <w:rFonts w:ascii="Century Gothic" w:cs="Century Gothic" w:eastAsia="Century Gothic" w:hAnsi="Century Gothic"/>
          <w:color w:val="5C3D26"/>
          <w:sz w:val="22"/>
          <w:szCs w:val="22"/>
          <w:highlight w:val="yellow"/>
        </w:rPr>
        <w:t xml:space="preserve">{{ methodology_notes }}</w:t>
      </w:r>
    </w:p>
    <w:p>
      <w:pPr>
        <w:spacing w:after="80" w:before="0"/>
      </w:pPr>
    </w:p>
    <w:p>
      <w:pPr>
        <w:pStyle w:val="Heading2"/>
        <w:pBdr>
          <w:left w:val="single" w:color="4A6E50" w:sz="12" w:space="6"/>
        </w:pBdr>
        <w:spacing w:after="80" w:before="200"/>
        <w:ind w:left="120"/>
      </w:pPr>
      <w:r>
        <w:rPr>
          <w:rFonts w:ascii="Century Gothic" w:cs="Century Gothic" w:eastAsia="Century Gothic" w:hAnsi="Century Gothic"/>
          <w:b/>
          <w:bCs/>
          <w:i w:val="false"/>
          <w:iCs w:val="false"/>
          <w:color w:val="4A6E50"/>
          <w:sz w:val="24"/>
          <w:szCs w:val="24"/>
        </w:rPr>
        <w:t xml:space="preserve">AI Prompt Catalog Reference</w:t>
      </w:r>
    </w:p>
    <w:p>
      <w:pPr>
        <w:spacing w:after="100" w:before="0"/>
      </w:pPr>
      <w:r>
        <w:rPr>
          <w:rFonts w:ascii="Century Gothic" w:cs="Century Gothic" w:eastAsia="Century Gothic" w:hAnsi="Century Gothic"/>
          <w:b w:val="false"/>
          <w:bCs w:val="false"/>
          <w:i/>
          <w:iCs/>
          <w:color w:val="8B7355"/>
          <w:sz w:val="20"/>
          <w:szCs w:val="20"/>
        </w:rPr>
        <w:t>This report was generated using DealDesk Automated Underwriting System v1.0 — Prompt Catalog v4.0. Document extraction uses claude-haiku-4-5-20251001 (Prompts 1A, 1B, 1C). Zoning analysis (Prompts 3A, 3B, 3C), insurance analysis (Prompt 4B), and report narrative generation (Prompt 4-MASTER) use claude-sonnet-4-6. Debt market snapshot (Prompt 5B) and Monte Carlo narrative (Prompt 5A) also use claude-sonnet. All AI-generated content is reviewed by the principal analyst prior to report finalization. Financial model calculations are deterministic Python — no AI is used in any numerical computation. Municipal data sourced from DealDesk Municipal Registry covering approximately 6,400 U.S. municipalities (data/municipal_registry.csv).</w:t>
      </w:r>
    </w:p>
    <w:p>
      <w:pPr>
        <w:spacing w:after="120" w:before="0"/>
      </w:pPr>
    </w:p>
    <w:p>
      <w:pPr>
        <w:pBdr>
          <w:bottom w:val="single" w:color="D8D4CC" w:sz="2" w:space="2"/>
        </w:pBdr>
        <w:spacing w:after="40" w:before="40"/>
      </w:pPr>
    </w:p>
    <w:p>
      <w:pPr>
        <w:spacing w:after="60" w:before="0"/>
      </w:pPr>
    </w:p>
    <w:p>
      <w:pPr>
        <w:spacing w:after="0" w:before="0"/>
        <w:jc w:val="center"/>
      </w:pPr>
      <w:r>
        <w:rPr>
          <w:rFonts w:ascii="Century Gothic" w:cs="Century Gothic" w:eastAsia="Century Gothic" w:hAnsi="Century Gothic"/>
          <w:b/>
          <w:bCs/>
          <w:i w:val="false"/>
          <w:iCs w:val="false"/>
          <w:color w:val="8B7355"/>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C" w:sz="2" w:space="4"/>
      </w:pBdr>
      <w:tabs>
        <w:tab w:val="right" w:pos="9360"/>
      </w:tabs>
      <w:spacing w:after="0" w:before="60"/>
    </w:pPr>
    <w:r>
      <w:rPr>
        <w:rFonts w:ascii="Century Gothic" w:cs="Century Gothic" w:eastAsia="Century Gothic" w:hAnsi="Century Gothic"/>
        <w:b w:val="false"/>
        <w:bCs w:val="false"/>
        <w:i w:val="false"/>
        <w:iCs w:val="false"/>
        <w:color w:val="7A7468"/>
        <w:sz w:val="16"/>
        <w:szCs w:val="16"/>
      </w:rPr>
      <w:t xml:space="preserve">This report is confidential and prepared for the internal use of DealDesk.</w:t>
    </w:r>
    <w:r>
      <w:rPr>
        <w:rFonts w:ascii="Century Gothic" w:cs="Century Gothic" w:eastAsia="Century Gothic" w:hAnsi="Century Gothic"/>
        <w:color w:val="7A7468"/>
        <w:sz w:val="16"/>
        <w:szCs w:val="16"/>
      </w:rPr>
      <w:t xml:space="preserve">	Page </w:t>
    </w:r>
    <w:r>
      <w:rPr>
        <w:rFonts w:ascii="Century Gothic" w:cs="Century Gothic" w:eastAsia="Century Gothic" w:hAnsi="Century Gothic"/>
        <w:color w:val="7A74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E50" w:sz="6" w:space="4"/>
      </w:pBdr>
      <w:tabs>
        <w:tab w:val="right" w:pos="9360"/>
      </w:tabs>
      <w:spacing w:after="60" w:before="0"/>
    </w:pPr>
    <w:r>
      <w:drawing>
        <wp:inline distT="0" distB="0" distL="0" distR="0">
          <wp:extent cx="838200" cy="219075"/>
          <wp:effectExtent t="0" r="0" b="0" l="0"/>
          <wp:docPr id="1" name="DealDesk" descr="DealDesk logo" title="Deal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219075"/>
                  </a:xfrm>
                  <a:prstGeom prst="rect">
                    <a:avLst/>
                  </a:prstGeom>
                </pic:spPr>
              </pic:pic>
            </a:graphicData>
          </a:graphic>
        </wp:inline>
      </w:drawing>
    </w:r>
    <w:r>
      <w:rPr>
        <w:rFonts w:ascii="Century Gothic" w:cs="Century Gothic" w:eastAsia="Century Gothic" w:hAnsi="Century Gothic"/>
        <w:b/>
        <w:bCs/>
        <w:color w:val="8B7355"/>
        <w:sz w:val="16"/>
        <w:szCs w:val="16"/>
      </w:rPr>
      <w:t xml:space="preserve">  |  INVESTMENT UNDERWRITING REPORT</w:t>
    </w:r>
    <w:r>
      <w:rPr>
        <w:rFonts w:ascii="Century Gothic" w:cs="Century Gothic" w:eastAsia="Century Gothic" w:hAnsi="Century Gothic"/>
        <w:color w:val="8B7355"/>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Century Gothic" w:cs="Century Gothic" w:eastAsia="Century Gothic" w:hAnsi="Century Gothic"/>
        <w:b/>
        <w:bCs/>
        <w:color w:val="3E6844"/>
        <w:sz w:val="22"/>
        <w:szCs w:val="22"/>
      </w:rPr>
    </w:lvl>
  </w:abstractNum>
  <w:abstractNum w:abstractNumId="3" w15:restartNumberingAfterBreak="0">
    <w:multiLevelType w:val="hybridMultilevel"/>
    <w:lvl w:ilvl="0" w15:tentative="1">
      <w:start w:val="1"/>
      <w:numFmt w:val="decimal"/>
      <w:lvlText w:val="%1."/>
      <w:lvlJc w:val="left"/>
      <w:pPr>
        <w:ind w:left="540" w:hanging="360"/>
      </w:pPr>
      <w:rPr>
        <w:rFonts w:ascii="Century Gothic" w:cs="Century Gothic" w:eastAsia="Century Gothic" w:hAnsi="Century Gothic"/>
        <w:b/>
        <w:bCs/>
        <w:color w:val="3E6844"/>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entury Gothic" w:cs="Century Gothic" w:eastAsia="Century Gothic" w:hAnsi="Century Gothic"/>
      <w:b/>
      <w:bCs/>
      <w:color w:val="2C1F14"/>
      <w:sz w:val="32"/>
      <w:szCs w:val="32"/>
    </w:rPr>
  </w:style>
  <w:style w:type="paragraph" w:styleId="Heading2">
    <w:name w:val="Heading 2"/>
    <w:basedOn w:val="Normal"/>
    <w:next w:val="Normal"/>
    <w:qFormat/>
    <w:pPr>
      <w:pBdr>
        <w:left w:val="single" w:color="4A6E50" w:sz="12" w:space="6"/>
      </w:pBdr>
      <w:spacing w:after="80" w:before="200"/>
      <w:ind w:left="120"/>
      <w:outlineLvl w:val="1"/>
    </w:pPr>
    <w:rPr>
      <w:rFonts w:ascii="Century Gothic" w:cs="Century Gothic" w:eastAsia="Century Gothic" w:hAnsi="Century Gothic"/>
      <w:b/>
      <w:bCs/>
      <w:color w:val="4A6E50"/>
      <w:sz w:val="24"/>
      <w:szCs w:val="24"/>
    </w:rPr>
  </w:style>
  <w:style w:type="paragraph" w:styleId="Heading3">
    <w:name w:val="Heading 3"/>
    <w:basedOn w:val="Normal"/>
    <w:next w:val="Normal"/>
    <w:qFormat/>
    <w:pPr>
      <w:spacing w:after="60" w:before="160"/>
      <w:outlineLvl w:val="2"/>
    </w:pPr>
    <w:rPr>
      <w:rFonts w:ascii="Century Gothic" w:cs="Century Gothic" w:eastAsia="Century Gothic" w:hAnsi="Century Gothic"/>
      <w:b/>
      <w:bCs/>
      <w:color w:val="2C1F14"/>
      <w:sz w:val="22"/>
      <w:szCs w:val="22"/>
    </w:rPr>
  </w:style>
  <w:style w:type="paragraph" w:styleId="Normal">
    <w:name w:val="Normal"/>
    <w:basedOn w:val="Normal"/>
    <w:pPr>
      <w:spacing w:after="140" w:before="0"/>
    </w:pPr>
    <w:rPr>
      <w:rFonts w:ascii="Century Gothic" w:cs="Century Gothic" w:eastAsia="Century Gothic" w:hAnsi="Century Gothic"/>
      <w:color w:val="2C1F1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5139df37cbdb392656bbfb0a29793396a769df.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425139df37cbdb392656bbfb0a29793396a769d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DealDesk CRE Underwriting Report — Template v1.0 (22 Sections)</dc:title>
  <dc:creator>DealDesk Automated Underwriting System v1.0</dc:creator>
  <dc:description>DealDesk CRE Underwriting — Sage Editorial Template v1.0 — 22 sections. All {{ placeholders }} for docxtpl pipeline.</dc:description>
  <cp:lastModifiedBy>Un-named</cp:lastModifiedBy>
  <cp:revision>1</cp:revision>
  <dcterms:created xsi:type="dcterms:W3CDTF">2026-04-05T19:23:32.784Z</dcterms:created>
  <dcterms:modified xsi:type="dcterms:W3CDTF">2026-04-05T19:23:32.785Z</dcterms:modified>
</cp:coreProperties>
</file>

<file path=docProps/custom.xml><?xml version="1.0" encoding="utf-8"?>
<Properties xmlns="http://schemas.openxmlformats.org/officeDocument/2006/custom-properties" xmlns:vt="http://schemas.openxmlformats.org/officeDocument/2006/docPropsVTypes"/>
</file>