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p>
      <w:pPr>
        <w:spacing w:after="40" w:before="0"/>
        <w:jc w:val="center"/>
      </w:pPr>
      <w:r>
        <w:drawing>
          <wp:inline distT="0" distB="0" distL="0" distR="0">
            <wp:extent cx="3048000" cy="800100"/>
            <wp:effectExtent t="0" r="0" b="0" l="0"/>
            <wp:docPr id="1" name="DealDesk" descr="DealDesk logo" title="DealDesk CRE Underwr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800100"/>
                    </a:xfrm>
                    <a:prstGeom prst="rect">
                      <a:avLst/>
                    </a:prstGeom>
                  </pic:spPr>
                </pic:pic>
              </a:graphicData>
            </a:graphic>
          </wp:inline>
        </w:drawing>
      </w:r>
    </w:p>
    <w:p>
      <w:pPr>
        <w:spacing w:after="180" w:before="0"/>
        <w:jc w:val="center"/>
      </w:pPr>
      <w:r>
        <w:rPr>
          <w:rFonts w:ascii="Century Gothic" w:cs="Century Gothic" w:eastAsia="Century Gothic" w:hAnsi="Century Gothic"/>
          <w:b w:val="false"/>
          <w:bCs w:val="false"/>
          <w:i w:val="false"/>
          <w:iCs w:val="false"/>
          <w:color w:val="7A7468"/>
          <w:sz w:val="18"/>
          <w:szCs w:val="18"/>
        </w:rPr>
        <w:t xml:space="preserve">CRE Underwriting  ·  Powered by AI</w:t>
      </w:r>
    </w:p>
    <w:p>
      <w:pPr>
        <w:spacing w:after="120" w:before="0"/>
      </w:pPr>
    </w:p>
    <w:p>
      <w:pPr>
        <w:pBdr>
          <w:bottom w:val="single" w:color="3E6844" w:sz="18" w:space="6"/>
        </w:pBdr>
        <w:spacing w:after="0" w:before="0"/>
      </w:pPr>
    </w:p>
    <w:p>
      <w:pPr>
        <w:spacing w:after="80" w:before="0"/>
      </w:pPr>
    </w:p>
    <w:p>
      <w:pPr>
        <w:spacing w:after="80" w:before="0"/>
        <w:jc w:val="center"/>
      </w:pPr>
      <w:r>
        <w:rPr>
          <w:rFonts w:ascii="Century Gothic" w:cs="Century Gothic" w:eastAsia="Century Gothic" w:hAnsi="Century Gothic"/>
          <w:b/>
          <w:bCs/>
          <w:i w:val="false"/>
          <w:iCs w:val="false"/>
          <w:color w:val="2A2820"/>
          <w:sz w:val="52"/>
          <w:szCs w:val="52"/>
        </w:rPr>
        <w:t xml:space="preserve">INVESTMENT UNDERWRITING REPORT</w:t>
      </w:r>
    </w:p>
    <w:p>
      <w:pPr>
        <w:spacing w:after="40" w:before="0"/>
      </w:pPr>
    </w:p>
    <w:p>
      <w:pPr>
        <w:spacing w:after="60" w:before="0"/>
        <w:jc w:val="center"/>
      </w:pPr>
      <w:r>
        <w:rPr>
          <w:rFonts w:ascii="Century Gothic" w:cs="Century Gothic" w:eastAsia="Century Gothic" w:hAnsi="Century Gothic"/>
          <w:color w:val="7B3F00"/>
          <w:sz w:val="22"/>
          <w:szCs w:val="22"/>
          <w:highlight w:val="yellow"/>
        </w:rPr>
        <w:t xml:space="preserve">{{ property_name }}</w:t>
      </w:r>
    </w:p>
    <w:p>
      <w:pPr>
        <w:spacing w:after="60" w:before="0"/>
        <w:jc w:val="center"/>
      </w:pPr>
      <w:r>
        <w:rPr>
          <w:rFonts w:ascii="Century Gothic" w:cs="Century Gothic" w:eastAsia="Century Gothic" w:hAnsi="Century Gothic"/>
          <w:color w:val="7B3F00"/>
          <w:sz w:val="22"/>
          <w:szCs w:val="22"/>
          <w:highlight w:val="yellow"/>
        </w:rPr>
        <w:t xml:space="preserve">{{ full_address }}</w:t>
      </w:r>
    </w:p>
    <w:p>
      <w:pPr>
        <w:spacing w:after="120" w:before="0"/>
        <w:jc w:val="center"/>
      </w:pPr>
      <w:r>
        <w:rPr>
          <w:rFonts w:ascii="Century Gothic" w:cs="Century Gothic" w:eastAsia="Century Gothic" w:hAnsi="Century Gothic"/>
          <w:color w:val="7B3F00"/>
          <w:sz w:val="22"/>
          <w:szCs w:val="22"/>
          <w:highlight w:val="yellow"/>
        </w:rPr>
        <w:t xml:space="preserve">{{ deal_type }}</w:t>
      </w:r>
    </w:p>
    <w:p>
      <w:pPr>
        <w:pBdr>
          <w:bottom w:val="single" w:color="3E6844" w:sz="18" w:space="6"/>
        </w:pBdr>
        <w:spacing w:after="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3060"/>
        <w:gridCol w:w="1620"/>
        <w:gridCol w:w="3060"/>
      </w:tblGrid>
      <w:tr>
        <w:tc>
          <w:tcPr>
            <w:tcW w:type="dxa" w:w="16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80"/>
            </w:tcMar>
          </w:tcPr>
          <w:p>
            <w:r>
              <w:rPr>
                <w:rFonts w:ascii="Century Gothic" w:cs="Century Gothic" w:eastAsia="Century Gothic" w:hAnsi="Century Gothic"/>
                <w:b/>
                <w:bCs/>
                <w:i w:val="false"/>
                <w:iCs w:val="false"/>
                <w:color w:val="7A7468"/>
                <w:sz w:val="18"/>
                <w:szCs w:val="18"/>
              </w:rPr>
              <w:t xml:space="preserve">Asset Type</w:t>
            </w:r>
          </w:p>
        </w:tc>
        <w:tc>
          <w:tcPr>
            <w:tcW w:type="dxa" w:w="30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asset_type }}</w:t>
            </w:r>
          </w:p>
        </w:tc>
        <w:tc>
          <w:tcPr>
            <w:tcW w:type="dxa" w:w="16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80"/>
            </w:tcMar>
          </w:tcPr>
          <w:p>
            <w:r>
              <w:rPr>
                <w:rFonts w:ascii="Century Gothic" w:cs="Century Gothic" w:eastAsia="Century Gothic" w:hAnsi="Century Gothic"/>
                <w:b/>
                <w:bCs/>
                <w:i w:val="false"/>
                <w:iCs w:val="false"/>
                <w:color w:val="7A7468"/>
                <w:sz w:val="18"/>
                <w:szCs w:val="18"/>
              </w:rPr>
              <w:t xml:space="preserve">Asking Price</w:t>
            </w:r>
          </w:p>
        </w:tc>
        <w:tc>
          <w:tcPr>
            <w:tcW w:type="dxa" w:w="30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asking_price }}</w:t>
            </w:r>
          </w:p>
        </w:tc>
      </w:tr>
      <w:tr>
        <w:tc>
          <w:tcPr>
            <w:tcW w:type="dxa" w:w="16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80"/>
            </w:tcMar>
          </w:tcPr>
          <w:p>
            <w:r>
              <w:rPr>
                <w:rFonts w:ascii="Century Gothic" w:cs="Century Gothic" w:eastAsia="Century Gothic" w:hAnsi="Century Gothic"/>
                <w:b/>
                <w:bCs/>
                <w:i w:val="false"/>
                <w:iCs w:val="false"/>
                <w:color w:val="7A7468"/>
                <w:sz w:val="18"/>
                <w:szCs w:val="18"/>
              </w:rPr>
              <w:t xml:space="preserve">Zoning</w:t>
            </w:r>
          </w:p>
        </w:tc>
        <w:tc>
          <w:tcPr>
            <w:tcW w:type="dxa" w:w="30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zoning }}</w:t>
            </w:r>
          </w:p>
        </w:tc>
        <w:tc>
          <w:tcPr>
            <w:tcW w:type="dxa" w:w="16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80"/>
            </w:tcMar>
          </w:tcPr>
          <w:p>
            <w:r>
              <w:rPr>
                <w:rFonts w:ascii="Century Gothic" w:cs="Century Gothic" w:eastAsia="Century Gothic" w:hAnsi="Century Gothic"/>
                <w:b/>
                <w:bCs/>
                <w:i w:val="false"/>
                <w:iCs w:val="false"/>
                <w:color w:val="7A7468"/>
                <w:sz w:val="18"/>
                <w:szCs w:val="18"/>
              </w:rPr>
              <w:t xml:space="preserve">Report Date</w:t>
            </w:r>
          </w:p>
        </w:tc>
        <w:tc>
          <w:tcPr>
            <w:tcW w:type="dxa" w:w="30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report_date }}</w:t>
            </w:r>
          </w:p>
        </w:tc>
      </w:tr>
      <w:tr>
        <w:tc>
          <w:tcPr>
            <w:tcW w:type="dxa" w:w="16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80"/>
            </w:tcMar>
          </w:tcPr>
          <w:p>
            <w:r>
              <w:rPr>
                <w:rFonts w:ascii="Century Gothic" w:cs="Century Gothic" w:eastAsia="Century Gothic" w:hAnsi="Century Gothic"/>
                <w:b/>
                <w:bCs/>
                <w:i w:val="false"/>
                <w:iCs w:val="false"/>
                <w:color w:val="7A7468"/>
                <w:sz w:val="18"/>
                <w:szCs w:val="18"/>
              </w:rPr>
              <w:t xml:space="preserve">Deal Source</w:t>
            </w:r>
          </w:p>
        </w:tc>
        <w:tc>
          <w:tcPr>
            <w:tcW w:type="dxa" w:w="30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deal_source }}</w:t>
            </w:r>
          </w:p>
        </w:tc>
        <w:tc>
          <w:tcPr>
            <w:tcW w:type="dxa" w:w="16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80"/>
            </w:tcMar>
          </w:tcPr>
          <w:p>
            <w:r>
              <w:rPr>
                <w:rFonts w:ascii="Century Gothic" w:cs="Century Gothic" w:eastAsia="Century Gothic" w:hAnsi="Century Gothic"/>
                <w:b/>
                <w:bCs/>
                <w:i w:val="false"/>
                <w:iCs w:val="false"/>
                <w:color w:val="7A7468"/>
                <w:sz w:val="18"/>
                <w:szCs w:val="18"/>
              </w:rPr>
              <w:t xml:space="preserve">Building SF</w:t>
            </w:r>
          </w:p>
        </w:tc>
        <w:tc>
          <w:tcPr>
            <w:tcW w:type="dxa" w:w="30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building_sf }}</w:t>
            </w:r>
          </w:p>
        </w:tc>
      </w:tr>
    </w:tbl>
    <w:p>
      <w:pPr>
        <w:spacing w:after="120" w:before="0"/>
      </w:pPr>
    </w:p>
    <w:p>
      <w:pPr>
        <w:spacing w:after="80" w:before="0"/>
        <w:jc w:val="center"/>
      </w:pPr>
      <w:r>
        <w:rPr>
          <w:rFonts w:ascii="Century Gothic" w:cs="Century Gothic" w:eastAsia="Century Gothic" w:hAnsi="Century Gothic"/>
          <w:b/>
          <w:bCs/>
          <w:i w:val="false"/>
          <w:iCs w:val="false"/>
          <w:color w:val="7A7468"/>
          <w:sz w:val="18"/>
          <w:szCs w:val="18"/>
        </w:rPr>
        <w:t xml:space="preserve">CONFIDENTIAL  —  FOR INTERNAL USE ONLY</w:t>
      </w:r>
    </w:p>
    <w:p>
      <w:pPr>
        <w:spacing w:after="200" w:before="0"/>
        <w:jc w:val="center"/>
      </w:pPr>
      <w:r>
        <w:rPr>
          <w:rFonts w:ascii="Century Gothic" w:cs="Century Gothic" w:eastAsia="Century Gothic" w:hAnsi="Century Gothic"/>
          <w:b w:val="false"/>
          <w:bCs w:val="false"/>
          <w:i w:val="false"/>
          <w:iCs w:val="false"/>
          <w:color w:val="7A7468"/>
          <w:sz w:val="20"/>
          <w:szCs w:val="20"/>
        </w:rPr>
        <w:t xml:space="preserve">Prepared </w:t>
      </w:r>
      <w:r>
        <w:rPr>
          <w:rFonts w:ascii="Century Gothic" w:cs="Century Gothic" w:eastAsia="Century Gothic" w:hAnsi="Century Gothic"/>
          <w:color w:val="7B3F00"/>
          <w:sz w:val="22"/>
          <w:szCs w:val="22"/>
          <w:highlight w:val="yellow"/>
        </w:rPr>
        <w:t xml:space="preserve">{{ report_date }}</w:t>
      </w:r>
    </w:p>
    <w:p>
      <w:r>
        <w:br/>
      </w:r>
    </w:p>
    <w:p>
      <w:pPr>
        <w:spacing w:after="120" w:before="0"/>
        <w:jc w:val="center"/>
      </w:pPr>
      <w:r>
        <w:rPr>
          <w:rFonts w:ascii="Century Gothic" w:cs="Century Gothic" w:eastAsia="Century Gothic" w:hAnsi="Century Gothic"/>
          <w:b/>
          <w:bCs/>
          <w:i w:val="false"/>
          <w:iCs w:val="false"/>
          <w:color w:val="2A2820"/>
          <w:sz w:val="28"/>
          <w:szCs w:val="28"/>
        </w:rPr>
        <w:t xml:space="preserve">TABLE OF CONTENTS</w:t>
      </w:r>
    </w:p>
    <w:p>
      <w:pPr>
        <w:pBdr>
          <w:bottom w:val="single" w:color="3E6844" w:sz="8" w:space="4"/>
        </w:pBdr>
        <w:spacing w:after="60" w:before="60"/>
      </w:pPr>
    </w:p>
    <w:p>
      <w:pPr>
        <w:spacing w:after="80" w:before="0"/>
      </w:pP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pPr>
        <w:spacing w:after="80" w:before="0"/>
      </w:pPr>
    </w:p>
    <w:p>
      <w:pPr>
        <w:spacing w:after="200" w:before="0"/>
        <w:jc w:val="center"/>
      </w:pPr>
      <w:r>
        <w:rPr>
          <w:rFonts w:ascii="Century Gothic" w:cs="Century Gothic" w:eastAsia="Century Gothic" w:hAnsi="Century Gothic"/>
          <w:b w:val="false"/>
          <w:bCs w:val="false"/>
          <w:i/>
          <w:iCs/>
          <w:color w:val="7A7468"/>
          <w:sz w:val="18"/>
          <w:szCs w:val="18"/>
        </w:rPr>
        <w:t xml:space="preserve">Right-click the table above and select 'Update Field' to refresh page numbers.</w:t>
      </w:r>
    </w:p>
    <w:p>
      <w:r>
        <w:br/>
      </w:r>
    </w:p>
    <w:p>
      <w:pPr>
        <w:spacing w:after="80" w:before="0"/>
      </w:pPr>
    </w:p>
    <w:p>
      <w:pPr>
        <w:pStyle w:val="Heading1"/>
        <w:spacing w:after="0" w:before="0"/>
      </w:pPr>
      <w:r>
        <w:rPr>
          <w:rFonts w:ascii="Century Gothic" w:cs="Century Gothic" w:eastAsia="Century Gothic" w:hAnsi="Century Gothic"/>
          <w:b/>
          <w:bCs/>
          <w:i w:val="false"/>
          <w:iCs w:val="false"/>
          <w:color w:val="EBF2EC"/>
          <w:sz w:val="96"/>
          <w:szCs w:val="96"/>
        </w:rPr>
        <w:t xml:space="preserve">01</w:t>
      </w:r>
    </w:p>
    <w:p>
      <w:pPr>
        <w:pBdr>
          <w:bottom w:val="single" w:color="3E6844" w:sz="8" w:space="4"/>
        </w:pBdr>
        <w:spacing w:after="60" w:before="60"/>
      </w:pPr>
    </w:p>
    <w:p>
      <w:pPr>
        <w:pStyle w:val="Heading1"/>
        <w:spacing w:after="160" w:before="80"/>
      </w:pPr>
      <w:r>
        <w:rPr>
          <w:rFonts w:ascii="Century Gothic" w:cs="Century Gothic" w:eastAsia="Century Gothic" w:hAnsi="Century Gothic"/>
          <w:b/>
          <w:bCs/>
          <w:i w:val="false"/>
          <w:iCs w:val="false"/>
          <w:color w:val="2A2820"/>
          <w:sz w:val="32"/>
          <w:szCs w:val="32"/>
        </w:rPr>
        <w:t xml:space="preserve">EXECUTIVE SUMMARY</w:t>
      </w:r>
    </w:p>
    <w:p>
      <w:pPr>
        <w:spacing w:after="140" w:before="0"/>
        <w:jc w:val="both"/>
      </w:pPr>
      <w:r>
        <w:rPr>
          <w:rFonts w:ascii="Century Gothic" w:cs="Century Gothic" w:eastAsia="Century Gothic" w:hAnsi="Century Gothic"/>
          <w:color w:val="7B3F00"/>
          <w:sz w:val="22"/>
          <w:szCs w:val="22"/>
          <w:highlight w:val="yellow"/>
        </w:rPr>
        <w:t xml:space="preserve">{{ exec_overview_p1 }}</w:t>
      </w:r>
    </w:p>
    <w:p>
      <w:pPr>
        <w:spacing w:after="140" w:before="0"/>
        <w:jc w:val="both"/>
      </w:pPr>
      <w:r>
        <w:rPr>
          <w:rFonts w:ascii="Century Gothic" w:cs="Century Gothic" w:eastAsia="Century Gothic" w:hAnsi="Century Gothic"/>
          <w:color w:val="7B3F00"/>
          <w:sz w:val="22"/>
          <w:szCs w:val="22"/>
          <w:highlight w:val="yellow"/>
        </w:rPr>
        <w:t xml:space="preserve">{{ exec_overview_p2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E6844" w:sz="20"/>
              <w:bottom w:val="none" w:color="FFFFFF" w:sz="0"/>
              <w:right w:val="none" w:color="FFFFFF" w:sz="0"/>
            </w:tcBorders>
            <w:shd w:fill="EBF2EC" w:val="clear"/>
            <w:tcMar>
              <w:top w:type="dxa" w:w="120"/>
              <w:left w:type="dxa" w:w="200"/>
              <w:bottom w:type="dxa" w:w="120"/>
              <w:right w:type="dxa" w:w="160"/>
            </w:tcMar>
          </w:tcPr>
          <w:p>
            <w:pPr>
              <w:spacing w:after="0" w:before="0"/>
            </w:pPr>
            <w:r>
              <w:rPr>
                <w:rFonts w:ascii="Century Gothic" w:cs="Century Gothic" w:eastAsia="Century Gothic" w:hAnsi="Century Gothic"/>
                <w:color w:val="7B3F00"/>
                <w:sz w:val="22"/>
                <w:szCs w:val="22"/>
                <w:highlight w:val="yellow"/>
              </w:rPr>
              <w:t xml:space="preserve">{{ exec_pullquote }}</w:t>
            </w:r>
          </w:p>
        </w:tc>
      </w:tr>
    </w:tbl>
    <w:p>
      <w:pPr>
        <w:spacing w:after="80" w:before="0"/>
      </w:pPr>
    </w:p>
    <w:p>
      <w:pPr>
        <w:spacing w:after="140" w:before="0"/>
        <w:jc w:val="both"/>
      </w:pPr>
      <w:r>
        <w:rPr>
          <w:rFonts w:ascii="Century Gothic" w:cs="Century Gothic" w:eastAsia="Century Gothic" w:hAnsi="Century Gothic"/>
          <w:color w:val="7B3F00"/>
          <w:sz w:val="22"/>
          <w:szCs w:val="22"/>
          <w:highlight w:val="yellow"/>
        </w:rPr>
        <w:t xml:space="preserve">{{ exec_overview_p3 }}</w:t>
      </w:r>
    </w:p>
    <w:p>
      <w:pPr>
        <w:spacing w:after="10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EBF2EC"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2A4A2E"/>
                <w:sz w:val="20"/>
                <w:szCs w:val="20"/>
              </w:rPr>
              <w:t xml:space="preserve">{{ kpi_dashboard_image }}</w:t>
            </w:r>
          </w:p>
          <w:p>
            <w:pPr>
              <w:spacing w:after="0" w:before="0"/>
              <w:jc w:val="center"/>
            </w:pPr>
            <w:r>
              <w:rPr>
                <w:rFonts w:ascii="Century Gothic" w:cs="Century Gothic" w:eastAsia="Century Gothic" w:hAnsi="Century Gothic"/>
                <w:b w:val="false"/>
                <w:bCs w:val="false"/>
                <w:i/>
                <w:iCs/>
                <w:color w:val="7A7468"/>
                <w:sz w:val="18"/>
                <w:szCs w:val="18"/>
              </w:rPr>
              <w:t xml:space="preserve">KPI Dashboard — 12-metric traffic light grid (PASS / WATCH / FAIL status per metric)</w:t>
            </w:r>
          </w:p>
        </w:tc>
      </w:tr>
    </w:tbl>
    <w:p>
      <w:pPr>
        <w:spacing w:after="120" w:before="40"/>
      </w:pPr>
      <w:r>
        <w:rPr>
          <w:rFonts w:ascii="Century Gothic" w:cs="Century Gothic" w:eastAsia="Century Gothic" w:hAnsi="Century Gothic"/>
          <w:b w:val="false"/>
          <w:bCs w:val="false"/>
          <w:i/>
          <w:iCs/>
          <w:color w:val="7A7468"/>
          <w:sz w:val="18"/>
          <w:szCs w:val="18"/>
        </w:rPr>
        <w:t xml:space="preserve">Source: DealDesk Underwriting Model</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Deal Thesis</w:t>
      </w:r>
    </w:p>
    <w:p>
      <w:pPr>
        <w:spacing w:after="140" w:before="0"/>
        <w:jc w:val="both"/>
      </w:pPr>
      <w:r>
        <w:rPr>
          <w:rFonts w:ascii="Century Gothic" w:cs="Century Gothic" w:eastAsia="Century Gothic" w:hAnsi="Century Gothic"/>
          <w:color w:val="7B3F00"/>
          <w:sz w:val="22"/>
          <w:szCs w:val="22"/>
          <w:highlight w:val="yellow"/>
        </w:rPr>
        <w:t xml:space="preserve">{{ deal_thesis }}</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Top Opportunities</w:t>
      </w:r>
    </w:p>
    <w:p>
      <w:pPr>
        <w:spacing w:after="80" w:before="0"/>
        <w:ind w:left="360"/>
      </w:pPr>
      <w:r>
        <w:rPr>
          <w:rFonts w:ascii="Century Gothic" w:cs="Century Gothic" w:eastAsia="Century Gothic" w:hAnsi="Century Gothic"/>
          <w:b/>
          <w:bCs/>
          <w:i w:val="false"/>
          <w:iCs w:val="false"/>
          <w:color w:val="3E6844"/>
          <w:sz w:val="22"/>
          <w:szCs w:val="22"/>
        </w:rPr>
        <w:t xml:space="preserve">→  </w:t>
      </w:r>
      <w:r>
        <w:rPr>
          <w:rFonts w:ascii="Century Gothic" w:cs="Century Gothic" w:eastAsia="Century Gothic" w:hAnsi="Century Gothic"/>
          <w:color w:val="7B3F00"/>
          <w:sz w:val="22"/>
          <w:szCs w:val="22"/>
          <w:highlight w:val="yellow"/>
        </w:rPr>
        <w:t xml:space="preserve">{{ opportunity_1 }}</w:t>
      </w:r>
    </w:p>
    <w:p>
      <w:pPr>
        <w:spacing w:after="80" w:before="0"/>
        <w:ind w:left="360"/>
      </w:pPr>
      <w:r>
        <w:rPr>
          <w:rFonts w:ascii="Century Gothic" w:cs="Century Gothic" w:eastAsia="Century Gothic" w:hAnsi="Century Gothic"/>
          <w:b/>
          <w:bCs/>
          <w:i w:val="false"/>
          <w:iCs w:val="false"/>
          <w:color w:val="3E6844"/>
          <w:sz w:val="22"/>
          <w:szCs w:val="22"/>
        </w:rPr>
        <w:t xml:space="preserve">→  </w:t>
      </w:r>
      <w:r>
        <w:rPr>
          <w:rFonts w:ascii="Century Gothic" w:cs="Century Gothic" w:eastAsia="Century Gothic" w:hAnsi="Century Gothic"/>
          <w:color w:val="7B3F00"/>
          <w:sz w:val="22"/>
          <w:szCs w:val="22"/>
          <w:highlight w:val="yellow"/>
        </w:rPr>
        <w:t xml:space="preserve">{{ opportunity_2 }}</w:t>
      </w:r>
    </w:p>
    <w:p>
      <w:pPr>
        <w:spacing w:after="80" w:before="0"/>
        <w:ind w:left="360"/>
      </w:pPr>
      <w:r>
        <w:rPr>
          <w:rFonts w:ascii="Century Gothic" w:cs="Century Gothic" w:eastAsia="Century Gothic" w:hAnsi="Century Gothic"/>
          <w:b/>
          <w:bCs/>
          <w:i w:val="false"/>
          <w:iCs w:val="false"/>
          <w:color w:val="3E6844"/>
          <w:sz w:val="22"/>
          <w:szCs w:val="22"/>
        </w:rPr>
        <w:t xml:space="preserve">→  </w:t>
      </w:r>
      <w:r>
        <w:rPr>
          <w:rFonts w:ascii="Century Gothic" w:cs="Century Gothic" w:eastAsia="Century Gothic" w:hAnsi="Century Gothic"/>
          <w:color w:val="7B3F00"/>
          <w:sz w:val="22"/>
          <w:szCs w:val="22"/>
          <w:highlight w:val="yellow"/>
        </w:rPr>
        <w:t xml:space="preserve">{{ opportunity_3 }}</w:t>
      </w:r>
    </w:p>
    <w:p>
      <w:pPr>
        <w:spacing w:after="120" w:before="40"/>
      </w:pPr>
      <w:r>
        <w:rPr>
          <w:rFonts w:ascii="Century Gothic" w:cs="Century Gothic" w:eastAsia="Century Gothic" w:hAnsi="Century Gothic"/>
          <w:b w:val="false"/>
          <w:bCs w:val="false"/>
          <w:i/>
          <w:iCs/>
          <w:color w:val="7A7468"/>
          <w:sz w:val="18"/>
          <w:szCs w:val="18"/>
        </w:rPr>
        <w:t xml:space="preserve">Source: DealDesk proprietary analysis</w:t>
      </w:r>
    </w:p>
    <w:p>
      <w:r>
        <w:br/>
      </w:r>
    </w:p>
    <w:p>
      <w:pPr>
        <w:spacing w:after="80" w:before="0"/>
      </w:pPr>
    </w:p>
    <w:p>
      <w:pPr>
        <w:pStyle w:val="Heading1"/>
        <w:spacing w:after="0" w:before="0"/>
      </w:pPr>
      <w:r>
        <w:rPr>
          <w:rFonts w:ascii="Century Gothic" w:cs="Century Gothic" w:eastAsia="Century Gothic" w:hAnsi="Century Gothic"/>
          <w:b/>
          <w:bCs/>
          <w:i w:val="false"/>
          <w:iCs w:val="false"/>
          <w:color w:val="EBF2EC"/>
          <w:sz w:val="96"/>
          <w:szCs w:val="96"/>
        </w:rPr>
        <w:t xml:space="preserve">02</w:t>
      </w:r>
    </w:p>
    <w:p>
      <w:pPr>
        <w:pBdr>
          <w:bottom w:val="single" w:color="3E6844" w:sz="8" w:space="4"/>
        </w:pBdr>
        <w:spacing w:after="60" w:before="60"/>
      </w:pPr>
    </w:p>
    <w:p>
      <w:pPr>
        <w:pStyle w:val="Heading1"/>
        <w:spacing w:after="160" w:before="80"/>
      </w:pPr>
      <w:r>
        <w:rPr>
          <w:rFonts w:ascii="Century Gothic" w:cs="Century Gothic" w:eastAsia="Century Gothic" w:hAnsi="Century Gothic"/>
          <w:b/>
          <w:bCs/>
          <w:i w:val="false"/>
          <w:iCs w:val="false"/>
          <w:color w:val="2A2820"/>
          <w:sz w:val="32"/>
          <w:szCs w:val="32"/>
        </w:rPr>
        <w:t xml:space="preserve">PROPERTY PHOTO GALLERY &amp; VISUAL DOCUMENTATION</w:t>
      </w:r>
    </w:p>
    <w:p>
      <w:pPr>
        <w:spacing w:after="140" w:before="0"/>
        <w:jc w:val="both"/>
      </w:pPr>
      <w:r>
        <w:rPr>
          <w:rFonts w:ascii="Century Gothic" w:cs="Century Gothic" w:eastAsia="Century Gothic" w:hAnsi="Century Gothic"/>
          <w:color w:val="7B3F00"/>
          <w:sz w:val="22"/>
          <w:szCs w:val="22"/>
          <w:highlight w:val="yellow"/>
        </w:rPr>
        <w:t xml:space="preserve">{{ photo_gallery_intro }}</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EBF2EC"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2A4A2E"/>
                <w:sz w:val="20"/>
                <w:szCs w:val="20"/>
              </w:rPr>
              <w:t xml:space="preserve">{{ photo_gallery_hero }}</w:t>
            </w:r>
          </w:p>
          <w:p>
            <w:pPr>
              <w:spacing w:after="0" w:before="0"/>
              <w:jc w:val="center"/>
            </w:pPr>
            <w:r>
              <w:rPr>
                <w:rFonts w:ascii="Century Gothic" w:cs="Century Gothic" w:eastAsia="Century Gothic" w:hAnsi="Century Gothic"/>
                <w:b w:val="false"/>
                <w:bCs w:val="false"/>
                <w:i/>
                <w:iCs/>
                <w:color w:val="7A7468"/>
                <w:sz w:val="18"/>
                <w:szCs w:val="18"/>
              </w:rPr>
              <w:t xml:space="preserve">Hero Shot — primary exterior elevation (highest-confidence exterior_photo from image_placements.json)</w:t>
            </w:r>
          </w:p>
        </w:tc>
      </w:tr>
    </w:tbl>
    <w:p>
      <w:pPr>
        <w:spacing w:after="120" w:before="60"/>
        <w:jc w:val="center"/>
      </w:pPr>
      <w:r>
        <w:rPr>
          <w:rFonts w:ascii="Century Gothic" w:cs="Century Gothic" w:eastAsia="Century Gothic" w:hAnsi="Century Gothic"/>
          <w:b w:val="false"/>
          <w:bCs w:val="false"/>
          <w:i/>
          <w:iCs/>
          <w:color w:val="7A7468"/>
          <w:sz w:val="18"/>
          <w:szCs w:val="18"/>
        </w:rPr>
        <w:t xml:space="preserve">Figure 2.1 — Exterior Hero Shot  |  Source: </w:t>
      </w:r>
      <w:r>
        <w:rPr>
          <w:rFonts w:ascii="Century Gothic" w:cs="Century Gothic" w:eastAsia="Century Gothic" w:hAnsi="Century Gothic"/>
          <w:color w:val="7B3F00"/>
          <w:sz w:val="22"/>
          <w:szCs w:val="22"/>
          <w:highlight w:val="yellow"/>
        </w:rPr>
        <w:t xml:space="preserve">{{ photo_hero_source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EBF2EC"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2A4A2E"/>
                <w:sz w:val="20"/>
                <w:szCs w:val="20"/>
              </w:rPr>
              <w:t xml:space="preserve">{{ photo_gallery_grid }}</w:t>
            </w:r>
          </w:p>
          <w:p>
            <w:pPr>
              <w:spacing w:after="0" w:before="0"/>
              <w:jc w:val="center"/>
            </w:pPr>
            <w:r>
              <w:rPr>
                <w:rFonts w:ascii="Century Gothic" w:cs="Century Gothic" w:eastAsia="Century Gothic" w:hAnsi="Century Gothic"/>
                <w:b w:val="false"/>
                <w:bCs w:val="false"/>
                <w:i/>
                <w:iCs/>
                <w:color w:val="7A7468"/>
                <w:sz w:val="18"/>
                <w:szCs w:val="18"/>
              </w:rPr>
              <w:t xml:space="preserve">Property Photo Gallery — 3×2 grid (exterior, interior, retail, aerial, roof deck). AI-classified from OM via Prompt 2A</w:t>
            </w:r>
          </w:p>
        </w:tc>
      </w:tr>
    </w:tbl>
    <w:p>
      <w:pPr>
        <w:spacing w:after="120" w:before="60"/>
        <w:jc w:val="center"/>
      </w:pPr>
      <w:r>
        <w:rPr>
          <w:rFonts w:ascii="Century Gothic" w:cs="Century Gothic" w:eastAsia="Century Gothic" w:hAnsi="Century Gothic"/>
          <w:b w:val="false"/>
          <w:bCs w:val="false"/>
          <w:i/>
          <w:iCs/>
          <w:color w:val="7A7468"/>
          <w:sz w:val="18"/>
          <w:szCs w:val="18"/>
        </w:rPr>
        <w:t xml:space="preserve">Figure 2.2 — Property Photo Gallery  |  Sources as captioned  |  AI-extracted via Prompt 2A</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Floor Plans</w:t>
      </w:r>
    </w:p>
    <w:p>
      <w:pPr>
        <w:spacing w:after="80" w:before="0"/>
      </w:pPr>
      <w:r>
        <w:rPr>
          <w:rFonts w:ascii="Century Gothic" w:cs="Century Gothic" w:eastAsia="Century Gothic" w:hAnsi="Century Gothic"/>
          <w:b w:val="false"/>
          <w:bCs w:val="false"/>
          <w:i/>
          <w:iCs/>
          <w:color w:val="7A7468"/>
          <w:sz w:val="20"/>
          <w:szCs w:val="20"/>
        </w:rPr>
        <w:t xml:space="preserve">Conditional block — renders only when </w:t>
      </w:r>
      <w:r>
        <w:rPr>
          <w:rFonts w:ascii="Century Gothic" w:cs="Century Gothic" w:eastAsia="Century Gothic" w:hAnsi="Century Gothic"/>
          <w:b/>
          <w:bCs/>
          <w:i w:val="false"/>
          <w:iCs w:val="false"/>
          <w:color w:val="2A4A2E"/>
          <w:sz w:val="20"/>
          <w:szCs w:val="20"/>
        </w:rPr>
        <w:t xml:space="preserve">image_type == "floor_plan"</w:t>
      </w:r>
      <w:r>
        <w:rPr>
          <w:rFonts w:ascii="Century Gothic" w:cs="Century Gothic" w:eastAsia="Century Gothic" w:hAnsi="Century Gothic"/>
          <w:b w:val="false"/>
          <w:bCs w:val="false"/>
          <w:i/>
          <w:iCs/>
          <w:color w:val="7A7468"/>
          <w:sz w:val="20"/>
          <w:szCs w:val="20"/>
        </w:rPr>
        <w:t xml:space="preserve"> entries exist in image_placements.json. Omitted entirely if no floor plans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EBF2EC"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2A4A2E"/>
                <w:sz w:val="20"/>
                <w:szCs w:val="20"/>
              </w:rPr>
              <w:t xml:space="preserve">{{ floor_plan_block }}</w:t>
            </w:r>
          </w:p>
          <w:p>
            <w:pPr>
              <w:spacing w:after="0" w:before="0"/>
              <w:jc w:val="center"/>
            </w:pPr>
            <w:r>
              <w:rPr>
                <w:rFonts w:ascii="Century Gothic" w:cs="Century Gothic" w:eastAsia="Century Gothic" w:hAnsi="Century Gothic"/>
                <w:b w:val="false"/>
                <w:bCs w:val="false"/>
                <w:i/>
                <w:iCs/>
                <w:color w:val="7A7468"/>
                <w:sz w:val="18"/>
                <w:szCs w:val="18"/>
              </w:rPr>
              <w:t xml:space="preserve">Floor Plan(s) — 1 plan=full width, 2=side-by-side, 3+=2-col grid. Extracted from OM via Prompt 2A</w:t>
            </w:r>
          </w:p>
        </w:tc>
      </w:tr>
    </w:tbl>
    <w:p>
      <w:pPr>
        <w:spacing w:after="80" w:before="60"/>
        <w:jc w:val="center"/>
      </w:pPr>
      <w:r>
        <w:rPr>
          <w:rFonts w:ascii="Century Gothic" w:cs="Century Gothic" w:eastAsia="Century Gothic" w:hAnsi="Century Gothic"/>
          <w:b w:val="false"/>
          <w:bCs w:val="false"/>
          <w:i/>
          <w:iCs/>
          <w:color w:val="7A7468"/>
          <w:sz w:val="18"/>
          <w:szCs w:val="18"/>
        </w:rPr>
        <w:t xml:space="preserve">Figure 2.3 — Floor Plans  |  Source: AI image classification (Prompt 2A)  |  DealDesk, </w:t>
      </w:r>
      <w:r>
        <w:rPr>
          <w:rFonts w:ascii="Century Gothic" w:cs="Century Gothic" w:eastAsia="Century Gothic" w:hAnsi="Century Gothic"/>
          <w:color w:val="7B3F00"/>
          <w:sz w:val="22"/>
          <w:szCs w:val="22"/>
          <w:highlight w:val="yellow"/>
        </w:rPr>
        <w:t xml:space="preserve">{{ report_date }}</w:t>
      </w:r>
    </w:p>
    <w:p>
      <w:pPr>
        <w:spacing w:after="120" w:before="40"/>
      </w:pPr>
      <w:r>
        <w:rPr>
          <w:rFonts w:ascii="Century Gothic" w:cs="Century Gothic" w:eastAsia="Century Gothic" w:hAnsi="Century Gothic"/>
          <w:b w:val="false"/>
          <w:bCs w:val="false"/>
          <w:i/>
          <w:iCs/>
          <w:color w:val="7A7468"/>
          <w:sz w:val="18"/>
          <w:szCs w:val="18"/>
        </w:rPr>
        <w:t xml:space="preserve">Source: Offering Memorandum (Prompt 2A image extraction)  |  Field photography  |  Google Street View Static API</w:t>
      </w:r>
    </w:p>
    <w:p>
      <w:r>
        <w:br/>
      </w:r>
    </w:p>
    <w:p>
      <w:pPr>
        <w:spacing w:after="80" w:before="0"/>
      </w:pPr>
    </w:p>
    <w:p>
      <w:pPr>
        <w:pStyle w:val="Heading1"/>
        <w:spacing w:after="0" w:before="0"/>
      </w:pPr>
      <w:r>
        <w:rPr>
          <w:rFonts w:ascii="Century Gothic" w:cs="Century Gothic" w:eastAsia="Century Gothic" w:hAnsi="Century Gothic"/>
          <w:b/>
          <w:bCs/>
          <w:i w:val="false"/>
          <w:iCs w:val="false"/>
          <w:color w:val="EBF2EC"/>
          <w:sz w:val="96"/>
          <w:szCs w:val="96"/>
        </w:rPr>
        <w:t xml:space="preserve">03</w:t>
      </w:r>
    </w:p>
    <w:p>
      <w:pPr>
        <w:pBdr>
          <w:bottom w:val="single" w:color="3E6844" w:sz="8" w:space="4"/>
        </w:pBdr>
        <w:spacing w:after="60" w:before="60"/>
      </w:pPr>
    </w:p>
    <w:p>
      <w:pPr>
        <w:pStyle w:val="Heading1"/>
        <w:spacing w:after="160" w:before="80"/>
      </w:pPr>
      <w:r>
        <w:rPr>
          <w:rFonts w:ascii="Century Gothic" w:cs="Century Gothic" w:eastAsia="Century Gothic" w:hAnsi="Century Gothic"/>
          <w:b/>
          <w:bCs/>
          <w:i w:val="false"/>
          <w:iCs w:val="false"/>
          <w:color w:val="2A2820"/>
          <w:sz w:val="32"/>
          <w:szCs w:val="32"/>
        </w:rPr>
        <w:t xml:space="preserve">MAPS &amp; GEOGRAPHIC CONTEXT</w:t>
      </w:r>
    </w:p>
    <w:p>
      <w:pPr>
        <w:spacing w:after="140" w:before="0"/>
        <w:jc w:val="both"/>
      </w:pPr>
      <w:r>
        <w:rPr>
          <w:rFonts w:ascii="Century Gothic" w:cs="Century Gothic" w:eastAsia="Century Gothic" w:hAnsi="Century Gothic"/>
          <w:color w:val="7B3F00"/>
          <w:sz w:val="22"/>
          <w:szCs w:val="22"/>
          <w:highlight w:val="yellow"/>
        </w:rPr>
        <w:t xml:space="preserve">{{ maps_intro }}</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3.1  Aerial Location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EBF2EC"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2A4A2E"/>
                <w:sz w:val="20"/>
                <w:szCs w:val="20"/>
              </w:rPr>
              <w:t xml:space="preserve">{{ aerial_map_image }}</w:t>
            </w:r>
          </w:p>
          <w:p>
            <w:pPr>
              <w:spacing w:after="0" w:before="0"/>
              <w:jc w:val="center"/>
            </w:pPr>
            <w:r>
              <w:rPr>
                <w:rFonts w:ascii="Century Gothic" w:cs="Century Gothic" w:eastAsia="Century Gothic" w:hAnsi="Century Gothic"/>
                <w:b w:val="false"/>
                <w:bCs w:val="false"/>
                <w:i/>
                <w:iCs/>
                <w:color w:val="7A7468"/>
                <w:sz w:val="18"/>
                <w:szCs w:val="18"/>
              </w:rPr>
              <w:t xml:space="preserve">Aerial Location Map — OpenStreetMap tile mosaic (3×3 grid, zoom 16), property pin at coordinates</w:t>
            </w:r>
          </w:p>
        </w:tc>
      </w:tr>
    </w:tbl>
    <w:p>
      <w:pPr>
        <w:spacing w:after="80" w:before="60"/>
        <w:jc w:val="center"/>
      </w:pPr>
      <w:r>
        <w:rPr>
          <w:rFonts w:ascii="Century Gothic" w:cs="Century Gothic" w:eastAsia="Century Gothic" w:hAnsi="Century Gothic"/>
          <w:b w:val="false"/>
          <w:bCs w:val="false"/>
          <w:i/>
          <w:iCs/>
          <w:color w:val="7A7468"/>
          <w:sz w:val="18"/>
          <w:szCs w:val="18"/>
        </w:rPr>
        <w:t xml:space="preserve">Figure 3.1 — Aerial Map  |  © OpenStreetMap contributors  |  Coordinates: </w:t>
      </w:r>
      <w:r>
        <w:rPr>
          <w:rFonts w:ascii="Century Gothic" w:cs="Century Gothic" w:eastAsia="Century Gothic" w:hAnsi="Century Gothic"/>
          <w:color w:val="7B3F00"/>
          <w:sz w:val="22"/>
          <w:szCs w:val="22"/>
          <w:highlight w:val="yellow"/>
        </w:rPr>
        <w:t xml:space="preserve">{{ coordinates }}</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3.2  Neighborhood &amp; Submarket Context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EBF2EC"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2A4A2E"/>
                <w:sz w:val="20"/>
                <w:szCs w:val="20"/>
              </w:rPr>
              <w:t xml:space="preserve">{{ neighborhood_map }}</w:t>
            </w:r>
          </w:p>
          <w:p>
            <w:pPr>
              <w:spacing w:after="0" w:before="0"/>
              <w:jc w:val="center"/>
            </w:pPr>
            <w:r>
              <w:rPr>
                <w:rFonts w:ascii="Century Gothic" w:cs="Century Gothic" w:eastAsia="Century Gothic" w:hAnsi="Century Gothic"/>
                <w:b w:val="false"/>
                <w:bCs w:val="false"/>
                <w:i/>
                <w:iCs/>
                <w:color w:val="7A7468"/>
                <w:sz w:val="18"/>
                <w:szCs w:val="18"/>
              </w:rPr>
              <w:t xml:space="preserve">Neighborhood map — 1-mile radius with transit stops, key amenities, and competing supply pinned</w:t>
            </w:r>
          </w:p>
        </w:tc>
      </w:tr>
    </w:tbl>
    <w:p>
      <w:pPr>
        <w:spacing w:after="80" w:before="60"/>
        <w:jc w:val="center"/>
      </w:pPr>
      <w:r>
        <w:rPr>
          <w:rFonts w:ascii="Century Gothic" w:cs="Century Gothic" w:eastAsia="Century Gothic" w:hAnsi="Century Gothic"/>
          <w:b w:val="false"/>
          <w:bCs w:val="false"/>
          <w:i/>
          <w:iCs/>
          <w:color w:val="7A7468"/>
          <w:sz w:val="18"/>
          <w:szCs w:val="18"/>
        </w:rPr>
        <w:t xml:space="preserve">Figure 3.2 — Neighborhood Context Map  |  Source: Google Maps Static API / OpenStreetMap</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3.3  FEMA Flood Map</w:t>
      </w:r>
    </w:p>
    <w:p>
      <w:pPr>
        <w:spacing w:after="140" w:before="0"/>
        <w:jc w:val="both"/>
      </w:pPr>
      <w:r>
        <w:rPr>
          <w:rFonts w:ascii="Century Gothic" w:cs="Century Gothic" w:eastAsia="Century Gothic" w:hAnsi="Century Gothic"/>
          <w:color w:val="7B3F00"/>
          <w:sz w:val="22"/>
          <w:szCs w:val="22"/>
          <w:highlight w:val="yellow"/>
        </w:rPr>
        <w:t xml:space="preserve">{{ fema_flood_narrative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EBF2EC"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2A4A2E"/>
                <w:sz w:val="20"/>
                <w:szCs w:val="20"/>
              </w:rPr>
              <w:t xml:space="preserve">{{ fema_flood_map }}</w:t>
            </w:r>
          </w:p>
          <w:p>
            <w:pPr>
              <w:spacing w:after="0" w:before="0"/>
              <w:jc w:val="center"/>
            </w:pPr>
            <w:r>
              <w:rPr>
                <w:rFonts w:ascii="Century Gothic" w:cs="Century Gothic" w:eastAsia="Century Gothic" w:hAnsi="Century Gothic"/>
                <w:b w:val="false"/>
                <w:bCs w:val="false"/>
                <w:i/>
                <w:iCs/>
                <w:color w:val="7A7468"/>
                <w:sz w:val="18"/>
                <w:szCs w:val="18"/>
              </w:rPr>
              <w:t xml:space="preserve">FEMA FIRM panel — flood zone designation for subject parcel(s). Zone X = not required; Zone AE = required</w:t>
            </w:r>
          </w:p>
        </w:tc>
      </w:tr>
    </w:tbl>
    <w:p>
      <w:pPr>
        <w:spacing w:after="80" w:before="60"/>
        <w:jc w:val="center"/>
      </w:pPr>
      <w:r>
        <w:rPr>
          <w:rFonts w:ascii="Century Gothic" w:cs="Century Gothic" w:eastAsia="Century Gothic" w:hAnsi="Century Gothic"/>
          <w:b w:val="false"/>
          <w:bCs w:val="false"/>
          <w:i/>
          <w:iCs/>
          <w:color w:val="7A7468"/>
          <w:sz w:val="18"/>
          <w:szCs w:val="18"/>
        </w:rPr>
        <w:t xml:space="preserve">Figure 3.3 — FEMA Flood Map  |  Source: FEMA NFHL (msc.fema.gov)  |  Panel: </w:t>
      </w:r>
      <w:r>
        <w:rPr>
          <w:rFonts w:ascii="Century Gothic" w:cs="Century Gothic" w:eastAsia="Century Gothic" w:hAnsi="Century Gothic"/>
          <w:color w:val="7B3F00"/>
          <w:sz w:val="22"/>
          <w:szCs w:val="22"/>
          <w:highlight w:val="yellow"/>
        </w:rPr>
        <w:t xml:space="preserve">{{ fema_panel_number }}</w:t>
      </w:r>
    </w:p>
    <w:p>
      <w:pPr>
        <w:spacing w:after="120" w:before="40"/>
      </w:pPr>
      <w:r>
        <w:rPr>
          <w:rFonts w:ascii="Century Gothic" w:cs="Century Gothic" w:eastAsia="Century Gothic" w:hAnsi="Century Gothic"/>
          <w:b w:val="false"/>
          <w:bCs w:val="false"/>
          <w:i/>
          <w:iCs/>
          <w:color w:val="7A7468"/>
          <w:sz w:val="18"/>
          <w:szCs w:val="18"/>
        </w:rPr>
        <w:t xml:space="preserve">Source: FEMA National Flood Hazard Layer (msc.fema.gov)  |  OpenStreetMap contributors  |  Google Maps Static API</w:t>
      </w:r>
    </w:p>
    <w:p>
      <w:r>
        <w:br/>
      </w:r>
    </w:p>
    <w:p>
      <w:pPr>
        <w:spacing w:after="80" w:before="0"/>
      </w:pPr>
    </w:p>
    <w:p>
      <w:pPr>
        <w:pStyle w:val="Heading1"/>
        <w:spacing w:after="0" w:before="0"/>
      </w:pPr>
      <w:r>
        <w:rPr>
          <w:rFonts w:ascii="Century Gothic" w:cs="Century Gothic" w:eastAsia="Century Gothic" w:hAnsi="Century Gothic"/>
          <w:b/>
          <w:bCs/>
          <w:i w:val="false"/>
          <w:iCs w:val="false"/>
          <w:color w:val="EBF2EC"/>
          <w:sz w:val="96"/>
          <w:szCs w:val="96"/>
        </w:rPr>
        <w:t xml:space="preserve">04</w:t>
      </w:r>
    </w:p>
    <w:p>
      <w:pPr>
        <w:pBdr>
          <w:bottom w:val="single" w:color="3E6844" w:sz="8" w:space="4"/>
        </w:pBdr>
        <w:spacing w:after="60" w:before="60"/>
      </w:pPr>
    </w:p>
    <w:p>
      <w:pPr>
        <w:pStyle w:val="Heading1"/>
        <w:spacing w:after="160" w:before="80"/>
      </w:pPr>
      <w:r>
        <w:rPr>
          <w:rFonts w:ascii="Century Gothic" w:cs="Century Gothic" w:eastAsia="Century Gothic" w:hAnsi="Century Gothic"/>
          <w:b/>
          <w:bCs/>
          <w:i w:val="false"/>
          <w:iCs w:val="false"/>
          <w:color w:val="2A2820"/>
          <w:sz w:val="32"/>
          <w:szCs w:val="32"/>
        </w:rPr>
        <w:t xml:space="preserve">PROPERTY DESCRIPTION</w:t>
      </w:r>
    </w:p>
    <w:p>
      <w:pPr>
        <w:spacing w:after="140" w:before="0"/>
        <w:jc w:val="both"/>
      </w:pPr>
      <w:r>
        <w:rPr>
          <w:rFonts w:ascii="Century Gothic" w:cs="Century Gothic" w:eastAsia="Century Gothic" w:hAnsi="Century Gothic"/>
          <w:color w:val="7B3F00"/>
          <w:sz w:val="22"/>
          <w:szCs w:val="22"/>
          <w:highlight w:val="yellow"/>
        </w:rPr>
        <w:t xml:space="preserve">{{ prop_desc_p1 }}</w:t>
      </w:r>
    </w:p>
    <w:p>
      <w:pPr>
        <w:spacing w:after="140" w:before="0"/>
        <w:jc w:val="both"/>
      </w:pPr>
      <w:r>
        <w:rPr>
          <w:rFonts w:ascii="Century Gothic" w:cs="Century Gothic" w:eastAsia="Century Gothic" w:hAnsi="Century Gothic"/>
          <w:color w:val="7B3F00"/>
          <w:sz w:val="22"/>
          <w:szCs w:val="22"/>
          <w:highlight w:val="yellow"/>
        </w:rPr>
        <w:t xml:space="preserve">{{ prop_desc_p2 }}</w:t>
      </w:r>
    </w:p>
    <w:p>
      <w:pPr>
        <w:spacing w:after="140" w:before="0"/>
        <w:jc w:val="both"/>
      </w:pPr>
      <w:r>
        <w:rPr>
          <w:rFonts w:ascii="Century Gothic" w:cs="Century Gothic" w:eastAsia="Century Gothic" w:hAnsi="Century Gothic"/>
          <w:color w:val="7B3F00"/>
          <w:sz w:val="22"/>
          <w:szCs w:val="22"/>
          <w:highlight w:val="yellow"/>
        </w:rPr>
        <w:t xml:space="preserve">{{ prop_desc_p3 }}</w:t>
      </w:r>
    </w:p>
    <w:p>
      <w:pPr>
        <w:spacing w:after="140" w:before="0"/>
        <w:jc w:val="both"/>
      </w:pPr>
      <w:r>
        <w:rPr>
          <w:rFonts w:ascii="Century Gothic" w:cs="Century Gothic" w:eastAsia="Century Gothic" w:hAnsi="Century Gothic"/>
          <w:color w:val="7B3F00"/>
          <w:sz w:val="22"/>
          <w:szCs w:val="22"/>
          <w:highlight w:val="yellow"/>
        </w:rPr>
        <w:t xml:space="preserve">{{ prop_desc_p4 }}</w:t>
      </w:r>
    </w:p>
    <w:p>
      <w:pPr>
        <w:spacing w:after="10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Parcel &amp; Improvement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420"/>
        <w:gridCol w:w="3420"/>
      </w:tblGrid>
      <w:tr>
        <w:tc>
          <w:tcPr>
            <w:tcW w:type="dxa" w:w="25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Field</w:t>
            </w:r>
          </w:p>
        </w:tc>
        <w:tc>
          <w:tcPr>
            <w:tcW w:type="dxa" w:w="34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Parcel A</w:t>
            </w:r>
          </w:p>
        </w:tc>
        <w:tc>
          <w:tcPr>
            <w:tcW w:type="dxa" w:w="34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Parcel B</w:t>
            </w:r>
          </w:p>
        </w:tc>
      </w:tr>
      <w:tr>
        <w:tc>
          <w:tcPr>
            <w:tcW w:type="dxa" w:w="25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parcel_data_table }}</w:t>
            </w:r>
          </w:p>
        </w:tc>
        <w:tc>
          <w:tcPr>
            <w:tcW w:type="dxa" w:w="34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34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Full parcel data table — OPA/APN, Census Tract, FIPS, zoning, assessed values, lot area, improvements, year built</w:t>
      </w:r>
    </w:p>
    <w:p>
      <w:pPr>
        <w:spacing w:after="80" w:before="0"/>
      </w:pPr>
      <w:r>
        <w:rPr>
          <w:rFonts w:ascii="Century Gothic" w:cs="Century Gothic" w:eastAsia="Century Gothic" w:hAnsi="Century Gothic"/>
          <w:b/>
          <w:bCs/>
          <w:i w:val="false"/>
          <w:iCs w:val="false"/>
          <w:color w:val="2A2820"/>
          <w:sz w:val="20"/>
          <w:szCs w:val="20"/>
        </w:rPr>
        <w:t xml:space="preserve">Census Tract: </w:t>
      </w:r>
      <w:r>
        <w:rPr>
          <w:rFonts w:ascii="Century Gothic" w:cs="Century Gothic" w:eastAsia="Century Gothic" w:hAnsi="Century Gothic"/>
          <w:color w:val="7B3F00"/>
          <w:sz w:val="22"/>
          <w:szCs w:val="22"/>
          <w:highlight w:val="yellow"/>
        </w:rPr>
        <w:t xml:space="preserve">{{ census_tract }}</w:t>
      </w:r>
      <w:r>
        <w:rPr>
          <w:rFonts w:ascii="Century Gothic" w:cs="Century Gothic" w:eastAsia="Century Gothic" w:hAnsi="Century Gothic"/>
          <w:b/>
          <w:bCs/>
          <w:i w:val="false"/>
          <w:iCs w:val="false"/>
          <w:color w:val="2A2820"/>
          <w:sz w:val="20"/>
          <w:szCs w:val="20"/>
        </w:rPr>
        <w:t xml:space="preserve">    FIPS Code (Tract): </w:t>
      </w:r>
      <w:r>
        <w:rPr>
          <w:rFonts w:ascii="Century Gothic" w:cs="Century Gothic" w:eastAsia="Century Gothic" w:hAnsi="Century Gothic"/>
          <w:color w:val="7B3F00"/>
          <w:sz w:val="22"/>
          <w:szCs w:val="22"/>
          <w:highlight w:val="yellow"/>
        </w:rPr>
        <w:t xml:space="preserve">{{ fips_code }}</w:t>
      </w:r>
    </w:p>
    <w:p>
      <w:pPr>
        <w:spacing w:after="120" w:before="40"/>
      </w:pPr>
      <w:r>
        <w:rPr>
          <w:rFonts w:ascii="Century Gothic" w:cs="Century Gothic" w:eastAsia="Century Gothic" w:hAnsi="Century Gothic"/>
          <w:b w:val="false"/>
          <w:bCs w:val="false"/>
          <w:i/>
          <w:iCs/>
          <w:color w:val="7A7468"/>
          <w:sz w:val="18"/>
          <w:szCs w:val="18"/>
        </w:rPr>
        <w:t xml:space="preserve">Source: Philadelphia OPA (opadata.phila.gov)  |  Census Tract &amp; FIPS: U.S. Census Bureau Geocoder</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Utilities &amp; Infrastructure</w:t>
      </w:r>
    </w:p>
    <w:p>
      <w:pPr>
        <w:spacing w:after="140" w:before="0"/>
        <w:jc w:val="both"/>
      </w:pPr>
      <w:r>
        <w:rPr>
          <w:rFonts w:ascii="Century Gothic" w:cs="Century Gothic" w:eastAsia="Century Gothic" w:hAnsi="Century Gothic"/>
          <w:color w:val="7B3F00"/>
          <w:sz w:val="22"/>
          <w:szCs w:val="22"/>
          <w:highlight w:val="yellow"/>
        </w:rPr>
        <w:t xml:space="preserve">{{ utilities_analysis }}</w:t>
      </w:r>
    </w:p>
    <w:p>
      <w:pPr>
        <w:spacing w:after="120" w:before="40"/>
      </w:pPr>
      <w:r>
        <w:rPr>
          <w:rFonts w:ascii="Century Gothic" w:cs="Century Gothic" w:eastAsia="Century Gothic" w:hAnsi="Century Gothic"/>
          <w:b w:val="false"/>
          <w:bCs w:val="false"/>
          <w:i/>
          <w:iCs/>
          <w:color w:val="7A7468"/>
          <w:sz w:val="18"/>
          <w:szCs w:val="18"/>
        </w:rPr>
        <w:t xml:space="preserve">Source: Philadelphia Water Department  |  PECO Energy  |  Philadelphia Gas Works</w:t>
      </w:r>
    </w:p>
    <w:p>
      <w:r>
        <w:br/>
      </w:r>
    </w:p>
    <w:p>
      <w:pPr>
        <w:spacing w:after="80" w:before="0"/>
      </w:pPr>
    </w:p>
    <w:p>
      <w:pPr>
        <w:pStyle w:val="Heading1"/>
        <w:spacing w:after="0" w:before="0"/>
      </w:pPr>
      <w:r>
        <w:rPr>
          <w:rFonts w:ascii="Century Gothic" w:cs="Century Gothic" w:eastAsia="Century Gothic" w:hAnsi="Century Gothic"/>
          <w:b/>
          <w:bCs/>
          <w:i w:val="false"/>
          <w:iCs w:val="false"/>
          <w:color w:val="EBF2EC"/>
          <w:sz w:val="96"/>
          <w:szCs w:val="96"/>
        </w:rPr>
        <w:t xml:space="preserve">05</w:t>
      </w:r>
    </w:p>
    <w:p>
      <w:pPr>
        <w:pBdr>
          <w:bottom w:val="single" w:color="3E6844" w:sz="8" w:space="4"/>
        </w:pBdr>
        <w:spacing w:after="60" w:before="60"/>
      </w:pPr>
    </w:p>
    <w:p>
      <w:pPr>
        <w:pStyle w:val="Heading1"/>
        <w:spacing w:after="160" w:before="80"/>
      </w:pPr>
      <w:r>
        <w:rPr>
          <w:rFonts w:ascii="Century Gothic" w:cs="Century Gothic" w:eastAsia="Century Gothic" w:hAnsi="Century Gothic"/>
          <w:b/>
          <w:bCs/>
          <w:i w:val="false"/>
          <w:iCs w:val="false"/>
          <w:color w:val="2A2820"/>
          <w:sz w:val="32"/>
          <w:szCs w:val="32"/>
        </w:rPr>
        <w:t xml:space="preserve">OWNERSHIP &amp; TITLE HISTORY</w:t>
      </w:r>
    </w:p>
    <w:p>
      <w:pPr>
        <w:spacing w:after="140" w:before="0"/>
        <w:jc w:val="both"/>
      </w:pPr>
      <w:r>
        <w:rPr>
          <w:rFonts w:ascii="Century Gothic" w:cs="Century Gothic" w:eastAsia="Century Gothic" w:hAnsi="Century Gothic"/>
          <w:color w:val="7B3F00"/>
          <w:sz w:val="22"/>
          <w:szCs w:val="22"/>
          <w:highlight w:val="yellow"/>
        </w:rPr>
        <w:t xml:space="preserve">{{ ownership_narrative }}</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5.1  Ownership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2160"/>
        <w:gridCol w:w="1080"/>
        <w:gridCol w:w="1440"/>
        <w:gridCol w:w="1440"/>
      </w:tblGrid>
      <w:tr>
        <w:tc>
          <w:tcPr>
            <w:tcW w:type="dxa" w:w="1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Date</w:t>
            </w:r>
          </w:p>
        </w:tc>
        <w:tc>
          <w:tcPr>
            <w:tcW w:type="dxa" w:w="21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Grantor (Seller)</w:t>
            </w:r>
          </w:p>
        </w:tc>
        <w:tc>
          <w:tcPr>
            <w:tcW w:type="dxa" w:w="21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Grantee (Buyer)</w:t>
            </w:r>
          </w:p>
        </w:tc>
        <w:tc>
          <w:tcPr>
            <w:tcW w:type="dxa" w:w="1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Sale Price</w:t>
            </w:r>
          </w:p>
        </w:tc>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Deed Book/Page</w:t>
            </w:r>
          </w:p>
        </w:tc>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Notes</w:t>
            </w:r>
          </w:p>
        </w:tc>
      </w:tr>
      <w:tr>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ownership_history_table }}</w:t>
            </w:r>
          </w:p>
        </w:tc>
        <w:tc>
          <w:tcPr>
            <w:tcW w:type="dxa" w:w="21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1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Transfer history — all recorded deeds</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5.2  Current Ownership &amp;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Field</w:t>
            </w:r>
          </w:p>
        </w:tc>
        <w:tc>
          <w:tcPr>
            <w:tcW w:type="dxa" w:w="64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Detail</w:t>
            </w:r>
          </w:p>
        </w:tc>
      </w:tr>
      <w:tr>
        <w:tc>
          <w:tcPr>
            <w:tcW w:type="dxa" w:w="28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current_ownership_table }}</w:t>
            </w:r>
          </w:p>
        </w:tc>
        <w:tc>
          <w:tcPr>
            <w:tcW w:type="dxa" w:w="64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Current owner, entity type, formation state, registered agent</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5.3  Liens, Mortgages &amp; Encumbrances</w:t>
      </w:r>
    </w:p>
    <w:p>
      <w:pPr>
        <w:spacing w:after="140" w:before="0"/>
        <w:jc w:val="both"/>
      </w:pPr>
      <w:r>
        <w:rPr>
          <w:rFonts w:ascii="Century Gothic" w:cs="Century Gothic" w:eastAsia="Century Gothic" w:hAnsi="Century Gothic"/>
          <w:color w:val="7B3F00"/>
          <w:sz w:val="22"/>
          <w:szCs w:val="22"/>
          <w:highlight w:val="yellow"/>
        </w:rPr>
        <w:t xml:space="preserve">{{ liens_narrative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520"/>
        <w:gridCol w:w="1440"/>
        <w:gridCol w:w="1440"/>
        <w:gridCol w:w="2340"/>
      </w:tblGrid>
      <w:tr>
        <w:tc>
          <w:tcPr>
            <w:tcW w:type="dxa" w:w="16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Type</w:t>
            </w:r>
          </w:p>
        </w:tc>
        <w:tc>
          <w:tcPr>
            <w:tcW w:type="dxa" w:w="25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Holder</w:t>
            </w:r>
          </w:p>
        </w:tc>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Amount</w:t>
            </w:r>
          </w:p>
        </w:tc>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Recorded Date</w:t>
            </w:r>
          </w:p>
        </w:tc>
        <w:tc>
          <w:tcPr>
            <w:tcW w:type="dxa" w:w="23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Status</w:t>
            </w:r>
          </w:p>
        </w:tc>
      </w:tr>
      <w:tr>
        <w:tc>
          <w:tcPr>
            <w:tcW w:type="dxa" w:w="16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liens_table }}</w:t>
            </w:r>
          </w:p>
        </w:tc>
        <w:tc>
          <w:tcPr>
            <w:tcW w:type="dxa" w:w="25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3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All recorded liens, mortgages, and encumbrances against the property</w:t>
      </w:r>
    </w:p>
    <w:p>
      <w:pPr>
        <w:spacing w:after="120" w:before="40"/>
      </w:pPr>
      <w:r>
        <w:rPr>
          <w:rFonts w:ascii="Century Gothic" w:cs="Century Gothic" w:eastAsia="Century Gothic" w:hAnsi="Century Gothic"/>
          <w:b w:val="false"/>
          <w:bCs w:val="false"/>
          <w:i/>
          <w:iCs/>
          <w:color w:val="7A7468"/>
          <w:sz w:val="18"/>
          <w:szCs w:val="18"/>
        </w:rPr>
        <w:t xml:space="preserve">Source: Philadelphia Recorder of Deeds (philadox.phila.gov)  |  UCC Filings (corporations.pa.gov)  |  Title search</w:t>
      </w:r>
    </w:p>
    <w:p>
      <w:r>
        <w:br/>
      </w:r>
    </w:p>
    <w:p>
      <w:pPr>
        <w:spacing w:after="80" w:before="0"/>
      </w:pPr>
    </w:p>
    <w:p>
      <w:pPr>
        <w:pStyle w:val="Heading1"/>
        <w:spacing w:after="0" w:before="0"/>
      </w:pPr>
      <w:r>
        <w:rPr>
          <w:rFonts w:ascii="Century Gothic" w:cs="Century Gothic" w:eastAsia="Century Gothic" w:hAnsi="Century Gothic"/>
          <w:b/>
          <w:bCs/>
          <w:i w:val="false"/>
          <w:iCs w:val="false"/>
          <w:color w:val="EBF2EC"/>
          <w:sz w:val="96"/>
          <w:szCs w:val="96"/>
        </w:rPr>
        <w:t xml:space="preserve">06</w:t>
      </w:r>
    </w:p>
    <w:p>
      <w:pPr>
        <w:pBdr>
          <w:bottom w:val="single" w:color="3E6844" w:sz="8" w:space="4"/>
        </w:pBdr>
        <w:spacing w:after="60" w:before="60"/>
      </w:pPr>
    </w:p>
    <w:p>
      <w:pPr>
        <w:pStyle w:val="Heading1"/>
        <w:spacing w:after="160" w:before="80"/>
      </w:pPr>
      <w:r>
        <w:rPr>
          <w:rFonts w:ascii="Century Gothic" w:cs="Century Gothic" w:eastAsia="Century Gothic" w:hAnsi="Century Gothic"/>
          <w:b/>
          <w:bCs/>
          <w:i w:val="false"/>
          <w:iCs w:val="false"/>
          <w:color w:val="2A2820"/>
          <w:sz w:val="32"/>
          <w:szCs w:val="32"/>
        </w:rPr>
        <w:t xml:space="preserve">ZONING &amp; LAND USE ANALYSIS</w:t>
      </w:r>
    </w:p>
    <w:p>
      <w:pPr>
        <w:spacing w:after="140" w:before="0"/>
        <w:jc w:val="both"/>
      </w:pPr>
      <w:r>
        <w:rPr>
          <w:rFonts w:ascii="Century Gothic" w:cs="Century Gothic" w:eastAsia="Century Gothic" w:hAnsi="Century Gothic"/>
          <w:color w:val="7B3F00"/>
          <w:sz w:val="22"/>
          <w:szCs w:val="22"/>
          <w:highlight w:val="yellow"/>
        </w:rPr>
        <w:t xml:space="preserve">{{ zoning_overview }}</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Zoning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880"/>
      </w:tblGrid>
      <w:tr>
        <w:tc>
          <w:tcPr>
            <w:tcW w:type="dxa" w:w="21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Parameter</w:t>
            </w:r>
          </w:p>
        </w:tc>
        <w:tc>
          <w:tcPr>
            <w:tcW w:type="dxa" w:w="21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Standard</w:t>
            </w:r>
          </w:p>
        </w:tc>
        <w:tc>
          <w:tcPr>
            <w:tcW w:type="dxa" w:w="21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Proposed</w:t>
            </w:r>
          </w:p>
        </w:tc>
        <w:tc>
          <w:tcPr>
            <w:tcW w:type="dxa" w:w="28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Code Section</w:t>
            </w:r>
          </w:p>
        </w:tc>
      </w:tr>
      <w:tr>
        <w:tc>
          <w:tcPr>
            <w:tcW w:type="dxa" w:w="21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zoning_standards_table }}</w:t>
            </w:r>
          </w:p>
        </w:tc>
        <w:tc>
          <w:tcPr>
            <w:tcW w:type="dxa" w:w="21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1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8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12-parameter zoning standards with code citations</w:t>
      </w:r>
    </w:p>
    <w:p>
      <w:pPr>
        <w:spacing w:after="120" w:before="40"/>
      </w:pPr>
      <w:r>
        <w:rPr>
          <w:rFonts w:ascii="Century Gothic" w:cs="Century Gothic" w:eastAsia="Century Gothic" w:hAnsi="Century Gothic"/>
          <w:b w:val="false"/>
          <w:bCs w:val="false"/>
          <w:i/>
          <w:iCs/>
          <w:color w:val="7A7468"/>
          <w:sz w:val="18"/>
          <w:szCs w:val="18"/>
        </w:rPr>
        <w:t xml:space="preserve">Source: Philadelphia Zoning Code Title 14 (philadelphia.ecode360.com)  |  Verified via Prompt 3A</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Buildable Capacity Analysis</w:t>
      </w:r>
    </w:p>
    <w:p>
      <w:pPr>
        <w:spacing w:after="140" w:before="0"/>
        <w:jc w:val="both"/>
      </w:pPr>
      <w:r>
        <w:rPr>
          <w:rFonts w:ascii="Century Gothic" w:cs="Century Gothic" w:eastAsia="Century Gothic" w:hAnsi="Century Gothic"/>
          <w:color w:val="7B3F00"/>
          <w:sz w:val="22"/>
          <w:szCs w:val="22"/>
          <w:highlight w:val="yellow"/>
        </w:rPr>
        <w:t xml:space="preserve">{{ buildable_capacity }}</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Highest &amp; Best Use Opinion</w:t>
      </w:r>
    </w:p>
    <w:p>
      <w:pPr>
        <w:spacing w:after="140" w:before="0"/>
        <w:jc w:val="both"/>
      </w:pPr>
      <w:r>
        <w:rPr>
          <w:rFonts w:ascii="Century Gothic" w:cs="Century Gothic" w:eastAsia="Century Gothic" w:hAnsi="Century Gothic"/>
          <w:color w:val="7B3F00"/>
          <w:sz w:val="22"/>
          <w:szCs w:val="22"/>
          <w:highlight w:val="yellow"/>
        </w:rPr>
        <w:t xml:space="preserve">{{ highest_best_use }}</w:t>
      </w:r>
    </w:p>
    <w:p>
      <w:pPr>
        <w:spacing w:after="120" w:before="40"/>
      </w:pPr>
      <w:r>
        <w:rPr>
          <w:rFonts w:ascii="Century Gothic" w:cs="Century Gothic" w:eastAsia="Century Gothic" w:hAnsi="Century Gothic"/>
          <w:b w:val="false"/>
          <w:bCs w:val="false"/>
          <w:i/>
          <w:iCs/>
          <w:color w:val="7A7468"/>
          <w:sz w:val="18"/>
          <w:szCs w:val="18"/>
        </w:rPr>
        <w:t xml:space="preserve">Source: Municipal zoning code  |  eCode360  |  American Legal Publishing  |  Prompt 3B/3C outputs</w:t>
      </w:r>
    </w:p>
    <w:p>
      <w:r>
        <w:br/>
      </w:r>
    </w:p>
    <w:p>
      <w:pPr>
        <w:spacing w:after="80" w:before="0"/>
      </w:pPr>
    </w:p>
    <w:p>
      <w:pPr>
        <w:pStyle w:val="Heading1"/>
        <w:spacing w:after="0" w:before="0"/>
      </w:pPr>
      <w:r>
        <w:rPr>
          <w:rFonts w:ascii="Century Gothic" w:cs="Century Gothic" w:eastAsia="Century Gothic" w:hAnsi="Century Gothic"/>
          <w:b/>
          <w:bCs/>
          <w:i w:val="false"/>
          <w:iCs w:val="false"/>
          <w:color w:val="EBF2EC"/>
          <w:sz w:val="96"/>
          <w:szCs w:val="96"/>
        </w:rPr>
        <w:t xml:space="preserve">07</w:t>
      </w:r>
    </w:p>
    <w:p>
      <w:pPr>
        <w:pBdr>
          <w:bottom w:val="single" w:color="3E6844" w:sz="8" w:space="4"/>
        </w:pBdr>
        <w:spacing w:after="60" w:before="60"/>
      </w:pPr>
    </w:p>
    <w:p>
      <w:pPr>
        <w:pStyle w:val="Heading1"/>
        <w:spacing w:after="160" w:before="80"/>
      </w:pPr>
      <w:r>
        <w:rPr>
          <w:rFonts w:ascii="Century Gothic" w:cs="Century Gothic" w:eastAsia="Century Gothic" w:hAnsi="Century Gothic"/>
          <w:b/>
          <w:bCs/>
          <w:i w:val="false"/>
          <w:iCs w:val="false"/>
          <w:color w:val="2A2820"/>
          <w:sz w:val="32"/>
          <w:szCs w:val="32"/>
        </w:rPr>
        <w:t xml:space="preserve">LOCATION &amp; MARKET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E6844" w:sz="20"/>
              <w:bottom w:val="none" w:color="FFFFFF" w:sz="0"/>
              <w:right w:val="none" w:color="FFFFFF" w:sz="0"/>
            </w:tcBorders>
            <w:shd w:fill="EBF2EC" w:val="clear"/>
            <w:tcMar>
              <w:top w:type="dxa" w:w="120"/>
              <w:left w:type="dxa" w:w="200"/>
              <w:bottom w:type="dxa" w:w="120"/>
              <w:right w:type="dxa" w:w="160"/>
            </w:tcMar>
          </w:tcPr>
          <w:p>
            <w:pPr>
              <w:spacing w:after="0" w:before="0"/>
            </w:pPr>
            <w:r>
              <w:rPr>
                <w:rFonts w:ascii="Century Gothic" w:cs="Century Gothic" w:eastAsia="Century Gothic" w:hAnsi="Century Gothic"/>
                <w:color w:val="7B3F00"/>
                <w:sz w:val="22"/>
                <w:szCs w:val="22"/>
                <w:highlight w:val="yellow"/>
              </w:rPr>
              <w:t xml:space="preserve">{{ location_pullquote }}</w:t>
            </w:r>
          </w:p>
        </w:tc>
      </w:tr>
    </w:tbl>
    <w:p>
      <w:pPr>
        <w:spacing w:after="80" w:before="0"/>
      </w:pPr>
    </w:p>
    <w:p>
      <w:pPr>
        <w:spacing w:after="140" w:before="0"/>
        <w:jc w:val="both"/>
      </w:pPr>
      <w:r>
        <w:rPr>
          <w:rFonts w:ascii="Century Gothic" w:cs="Century Gothic" w:eastAsia="Century Gothic" w:hAnsi="Century Gothic"/>
          <w:color w:val="7B3F00"/>
          <w:sz w:val="22"/>
          <w:szCs w:val="22"/>
          <w:highlight w:val="yellow"/>
        </w:rPr>
        <w:t xml:space="preserve">{{ location_overview_p1 }}</w:t>
      </w:r>
    </w:p>
    <w:p>
      <w:pPr>
        <w:spacing w:after="140" w:before="0"/>
        <w:jc w:val="both"/>
      </w:pPr>
      <w:r>
        <w:rPr>
          <w:rFonts w:ascii="Century Gothic" w:cs="Century Gothic" w:eastAsia="Century Gothic" w:hAnsi="Century Gothic"/>
          <w:color w:val="7B3F00"/>
          <w:sz w:val="22"/>
          <w:szCs w:val="22"/>
          <w:highlight w:val="yellow"/>
        </w:rPr>
        <w:t xml:space="preserve">{{ location_overview_p2 }}</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Transportation &amp; Access</w:t>
      </w:r>
    </w:p>
    <w:p>
      <w:pPr>
        <w:spacing w:after="140" w:before="0"/>
        <w:jc w:val="both"/>
      </w:pPr>
      <w:r>
        <w:rPr>
          <w:rFonts w:ascii="Century Gothic" w:cs="Century Gothic" w:eastAsia="Century Gothic" w:hAnsi="Century Gothic"/>
          <w:color w:val="7B3F00"/>
          <w:sz w:val="22"/>
          <w:szCs w:val="22"/>
          <w:highlight w:val="yellow"/>
        </w:rPr>
        <w:t xml:space="preserve">{{ transportation_analysis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880"/>
        <w:gridCol w:w="1260"/>
        <w:gridCol w:w="3600"/>
      </w:tblGrid>
      <w:tr>
        <w:tc>
          <w:tcPr>
            <w:tcW w:type="dxa" w:w="16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Mode</w:t>
            </w:r>
          </w:p>
        </w:tc>
        <w:tc>
          <w:tcPr>
            <w:tcW w:type="dxa" w:w="28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Route / Line</w:t>
            </w:r>
          </w:p>
        </w:tc>
        <w:tc>
          <w:tcPr>
            <w:tcW w:type="dxa" w:w="12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Distance</w:t>
            </w:r>
          </w:p>
        </w:tc>
        <w:tc>
          <w:tcPr>
            <w:tcW w:type="dxa" w:w="360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Destination</w:t>
            </w:r>
          </w:p>
        </w:tc>
      </w:tr>
      <w:tr>
        <w:tc>
          <w:tcPr>
            <w:tcW w:type="dxa" w:w="16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transportation_table }}</w:t>
            </w:r>
          </w:p>
        </w:tc>
        <w:tc>
          <w:tcPr>
            <w:tcW w:type="dxa" w:w="28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2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360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Transit and access data table — SEPTA, Walk Score, Transit Score</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Nearby Amenities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880"/>
        <w:gridCol w:w="1260"/>
        <w:gridCol w:w="3600"/>
      </w:tblGrid>
      <w:tr>
        <w:tc>
          <w:tcPr>
            <w:tcW w:type="dxa" w:w="16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Category</w:t>
            </w:r>
          </w:p>
        </w:tc>
        <w:tc>
          <w:tcPr>
            <w:tcW w:type="dxa" w:w="28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Name</w:t>
            </w:r>
          </w:p>
        </w:tc>
        <w:tc>
          <w:tcPr>
            <w:tcW w:type="dxa" w:w="12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Distance</w:t>
            </w:r>
          </w:p>
        </w:tc>
        <w:tc>
          <w:tcPr>
            <w:tcW w:type="dxa" w:w="360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Notes</w:t>
            </w:r>
          </w:p>
        </w:tc>
      </w:tr>
      <w:tr>
        <w:tc>
          <w:tcPr>
            <w:tcW w:type="dxa" w:w="16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amenity_table }}</w:t>
            </w:r>
          </w:p>
        </w:tc>
        <w:tc>
          <w:tcPr>
            <w:tcW w:type="dxa" w:w="28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2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360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Amenity proximity table — grocery, medical, education, parks, retail</w:t>
      </w:r>
    </w:p>
    <w:p>
      <w:pPr>
        <w:spacing w:after="120" w:before="40"/>
      </w:pPr>
      <w:r>
        <w:rPr>
          <w:rFonts w:ascii="Century Gothic" w:cs="Century Gothic" w:eastAsia="Century Gothic" w:hAnsi="Century Gothic"/>
          <w:b w:val="false"/>
          <w:bCs w:val="false"/>
          <w:i/>
          <w:iCs/>
          <w:color w:val="7A7468"/>
          <w:sz w:val="18"/>
          <w:szCs w:val="18"/>
        </w:rPr>
        <w:t xml:space="preserve">Source: Walk Score Inc. (walkscore.com)  |  Google Maps  |  SEPTA (septa.org)  |  U.S. Census LEHD</w:t>
      </w:r>
    </w:p>
    <w:p>
      <w:r>
        <w:br/>
      </w:r>
    </w:p>
    <w:p>
      <w:pPr>
        <w:spacing w:after="80" w:before="0"/>
      </w:pPr>
    </w:p>
    <w:p>
      <w:pPr>
        <w:pStyle w:val="Heading1"/>
        <w:spacing w:after="0" w:before="0"/>
      </w:pPr>
      <w:r>
        <w:rPr>
          <w:rFonts w:ascii="Century Gothic" w:cs="Century Gothic" w:eastAsia="Century Gothic" w:hAnsi="Century Gothic"/>
          <w:b/>
          <w:bCs/>
          <w:i w:val="false"/>
          <w:iCs w:val="false"/>
          <w:color w:val="EBF2EC"/>
          <w:sz w:val="96"/>
          <w:szCs w:val="96"/>
        </w:rPr>
        <w:t xml:space="preserve">08</w:t>
      </w:r>
    </w:p>
    <w:p>
      <w:pPr>
        <w:pBdr>
          <w:bottom w:val="single" w:color="3E6844" w:sz="8" w:space="4"/>
        </w:pBdr>
        <w:spacing w:after="60" w:before="60"/>
      </w:pPr>
    </w:p>
    <w:p>
      <w:pPr>
        <w:pStyle w:val="Heading1"/>
        <w:spacing w:after="160" w:before="80"/>
      </w:pPr>
      <w:r>
        <w:rPr>
          <w:rFonts w:ascii="Century Gothic" w:cs="Century Gothic" w:eastAsia="Century Gothic" w:hAnsi="Century Gothic"/>
          <w:b/>
          <w:bCs/>
          <w:i w:val="false"/>
          <w:iCs w:val="false"/>
          <w:color w:val="2A2820"/>
          <w:sz w:val="32"/>
          <w:szCs w:val="32"/>
        </w:rPr>
        <w:t xml:space="preserve">NEIGHBORHOOD TREND ANALYSIS</w:t>
      </w:r>
    </w:p>
    <w:p>
      <w:pPr>
        <w:spacing w:after="140" w:before="0"/>
        <w:jc w:val="both"/>
      </w:pPr>
      <w:r>
        <w:rPr>
          <w:rFonts w:ascii="Century Gothic" w:cs="Century Gothic" w:eastAsia="Century Gothic" w:hAnsi="Century Gothic"/>
          <w:color w:val="7B3F00"/>
          <w:sz w:val="22"/>
          <w:szCs w:val="22"/>
          <w:highlight w:val="yellow"/>
        </w:rPr>
        <w:t xml:space="preserve">{{ neighborhood_trend_narrative }}</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EBF2EC"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2A4A2E"/>
                <w:sz w:val="20"/>
                <w:szCs w:val="20"/>
              </w:rPr>
              <w:t xml:space="preserve">{{ demo_trend_charts }}</w:t>
            </w:r>
          </w:p>
          <w:p>
            <w:pPr>
              <w:spacing w:after="0" w:before="0"/>
              <w:jc w:val="center"/>
            </w:pPr>
            <w:r>
              <w:rPr>
                <w:rFonts w:ascii="Century Gothic" w:cs="Century Gothic" w:eastAsia="Century Gothic" w:hAnsi="Century Gothic"/>
                <w:b w:val="false"/>
                <w:bCs w:val="false"/>
                <w:i/>
                <w:iCs/>
                <w:color w:val="7A7468"/>
                <w:sz w:val="18"/>
                <w:szCs w:val="18"/>
              </w:rPr>
              <w:t xml:space="preserve">Demographic Trend Charts — 2×2 grid: Population, Median HH Income, Renter %, Vacancy Rate (5-year)</w:t>
            </w:r>
          </w:p>
        </w:tc>
      </w:tr>
    </w:tbl>
    <w:p>
      <w:pPr>
        <w:spacing w:after="80" w:before="60"/>
        <w:jc w:val="center"/>
      </w:pPr>
      <w:r>
        <w:rPr>
          <w:rFonts w:ascii="Century Gothic" w:cs="Century Gothic" w:eastAsia="Century Gothic" w:hAnsi="Century Gothic"/>
          <w:b w:val="false"/>
          <w:bCs w:val="false"/>
          <w:i/>
          <w:iCs/>
          <w:color w:val="7A7468"/>
          <w:sz w:val="18"/>
          <w:szCs w:val="18"/>
        </w:rPr>
        <w:t xml:space="preserve">Figure 8.1 — Demographic Trends  |  Source: U.S. Census Bureau ACS 5-Year Estimates  |  data.census.gov</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Key Demographic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620"/>
        <w:gridCol w:w="1620"/>
        <w:gridCol w:w="1620"/>
        <w:gridCol w:w="2340"/>
      </w:tblGrid>
      <w:tr>
        <w:tc>
          <w:tcPr>
            <w:tcW w:type="dxa" w:w="21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Indicator</w:t>
            </w:r>
          </w:p>
        </w:tc>
        <w:tc>
          <w:tcPr>
            <w:tcW w:type="dxa" w:w="16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1-Mile (Latest)</w:t>
            </w:r>
          </w:p>
        </w:tc>
        <w:tc>
          <w:tcPr>
            <w:tcW w:type="dxa" w:w="16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3-Mile (Latest)</w:t>
            </w:r>
          </w:p>
        </w:tc>
        <w:tc>
          <w:tcPr>
            <w:tcW w:type="dxa" w:w="16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5-Yr Trend</w:t>
            </w:r>
          </w:p>
        </w:tc>
        <w:tc>
          <w:tcPr>
            <w:tcW w:type="dxa" w:w="23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Notes</w:t>
            </w:r>
          </w:p>
        </w:tc>
      </w:tr>
      <w:tr>
        <w:tc>
          <w:tcPr>
            <w:tcW w:type="dxa" w:w="21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demographics_table }}</w:t>
            </w:r>
          </w:p>
        </w:tc>
        <w:tc>
          <w:tcPr>
            <w:tcW w:type="dxa" w:w="16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6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6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3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Key demographic indicators — population, income, renter %, vacancy, employment</w:t>
      </w:r>
    </w:p>
    <w:p>
      <w:pPr>
        <w:spacing w:after="120" w:before="40"/>
      </w:pPr>
      <w:r>
        <w:rPr>
          <w:rFonts w:ascii="Century Gothic" w:cs="Century Gothic" w:eastAsia="Century Gothic" w:hAnsi="Century Gothic"/>
          <w:b w:val="false"/>
          <w:bCs w:val="false"/>
          <w:i/>
          <w:iCs/>
          <w:color w:val="7A7468"/>
          <w:sz w:val="18"/>
          <w:szCs w:val="18"/>
        </w:rPr>
        <w:t xml:space="preserve">Source: U.S. Census Bureau ACS 5-Year Estimates (data.census.gov)  |  Bureau of Labor Statistics  |  IRS SOI Migration Data</w:t>
      </w:r>
    </w:p>
    <w:p>
      <w:r>
        <w:br/>
      </w:r>
    </w:p>
    <w:p>
      <w:pPr>
        <w:spacing w:after="80" w:before="0"/>
      </w:pPr>
    </w:p>
    <w:p>
      <w:pPr>
        <w:pStyle w:val="Heading1"/>
        <w:spacing w:after="0" w:before="0"/>
      </w:pPr>
      <w:r>
        <w:rPr>
          <w:rFonts w:ascii="Century Gothic" w:cs="Century Gothic" w:eastAsia="Century Gothic" w:hAnsi="Century Gothic"/>
          <w:b/>
          <w:bCs/>
          <w:i w:val="false"/>
          <w:iCs w:val="false"/>
          <w:color w:val="EBF2EC"/>
          <w:sz w:val="96"/>
          <w:szCs w:val="96"/>
        </w:rPr>
        <w:t xml:space="preserve">09</w:t>
      </w:r>
    </w:p>
    <w:p>
      <w:pPr>
        <w:pBdr>
          <w:bottom w:val="single" w:color="3E6844" w:sz="8" w:space="4"/>
        </w:pBdr>
        <w:spacing w:after="60" w:before="60"/>
      </w:pPr>
    </w:p>
    <w:p>
      <w:pPr>
        <w:pStyle w:val="Heading1"/>
        <w:spacing w:after="160" w:before="80"/>
      </w:pPr>
      <w:r>
        <w:rPr>
          <w:rFonts w:ascii="Century Gothic" w:cs="Century Gothic" w:eastAsia="Century Gothic" w:hAnsi="Century Gothic"/>
          <w:b/>
          <w:bCs/>
          <w:i w:val="false"/>
          <w:iCs w:val="false"/>
          <w:color w:val="2A2820"/>
          <w:sz w:val="32"/>
          <w:szCs w:val="32"/>
        </w:rPr>
        <w:t xml:space="preserve">MARKET SUPPLY &amp; PIPELINE ANALYSIS</w:t>
      </w:r>
    </w:p>
    <w:p>
      <w:pPr>
        <w:spacing w:after="140" w:before="0"/>
        <w:jc w:val="both"/>
      </w:pPr>
      <w:r>
        <w:rPr>
          <w:rFonts w:ascii="Century Gothic" w:cs="Century Gothic" w:eastAsia="Century Gothic" w:hAnsi="Century Gothic"/>
          <w:color w:val="7B3F00"/>
          <w:sz w:val="22"/>
          <w:szCs w:val="22"/>
          <w:highlight w:val="yellow"/>
        </w:rPr>
        <w:t xml:space="preserve">{{ supply_pipeline_narrative }}</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EBF2EC"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2A4A2E"/>
                <w:sz w:val="20"/>
                <w:szCs w:val="20"/>
              </w:rPr>
              <w:t xml:space="preserve">{{ supply_pipeline_chart }}</w:t>
            </w:r>
          </w:p>
          <w:p>
            <w:pPr>
              <w:spacing w:after="0" w:before="0"/>
              <w:jc w:val="center"/>
            </w:pPr>
            <w:r>
              <w:rPr>
                <w:rFonts w:ascii="Century Gothic" w:cs="Century Gothic" w:eastAsia="Century Gothic" w:hAnsi="Century Gothic"/>
                <w:b w:val="false"/>
                <w:bCs w:val="false"/>
                <w:i/>
                <w:iCs/>
                <w:color w:val="7A7468"/>
                <w:sz w:val="18"/>
                <w:szCs w:val="18"/>
              </w:rPr>
              <w:t xml:space="preserve">Supply Pipeline — horizontal bar chart + project register (Prompt 3D output)</w:t>
            </w:r>
          </w:p>
        </w:tc>
      </w:tr>
    </w:tbl>
    <w:p>
      <w:pPr>
        <w:spacing w:after="80" w:before="60"/>
        <w:jc w:val="center"/>
      </w:pPr>
      <w:r>
        <w:rPr>
          <w:rFonts w:ascii="Century Gothic" w:cs="Century Gothic" w:eastAsia="Century Gothic" w:hAnsi="Century Gothic"/>
          <w:b w:val="false"/>
          <w:bCs w:val="false"/>
          <w:i/>
          <w:iCs/>
          <w:color w:val="7A7468"/>
          <w:sz w:val="18"/>
          <w:szCs w:val="18"/>
        </w:rPr>
        <w:t xml:space="preserve">Figure 9.1 — Supply Pipeline  |  Sources: Philadelphia L&amp;I, CoStar, City Planning Commission</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Pipeline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720"/>
        <w:gridCol w:w="1440"/>
        <w:gridCol w:w="1620"/>
        <w:gridCol w:w="1440"/>
        <w:gridCol w:w="1620"/>
      </w:tblGrid>
      <w:tr>
        <w:tc>
          <w:tcPr>
            <w:tcW w:type="dxa" w:w="25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Project Name</w:t>
            </w:r>
          </w:p>
        </w:tc>
        <w:tc>
          <w:tcPr>
            <w:tcW w:type="dxa" w:w="7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Units</w:t>
            </w:r>
          </w:p>
        </w:tc>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Type</w:t>
            </w:r>
          </w:p>
        </w:tc>
        <w:tc>
          <w:tcPr>
            <w:tcW w:type="dxa" w:w="16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Status</w:t>
            </w:r>
          </w:p>
        </w:tc>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Est. Delivery</w:t>
            </w:r>
          </w:p>
        </w:tc>
        <w:tc>
          <w:tcPr>
            <w:tcW w:type="dxa" w:w="16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Distance</w:t>
            </w:r>
          </w:p>
        </w:tc>
      </w:tr>
      <w:tr>
        <w:tc>
          <w:tcPr>
            <w:tcW w:type="dxa" w:w="25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supply_pipeline_table }}</w:t>
            </w:r>
          </w:p>
        </w:tc>
        <w:tc>
          <w:tcPr>
            <w:tcW w:type="dxa" w:w="7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6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6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All known and proposed projects within 1.5-mile radius</w:t>
      </w:r>
    </w:p>
    <w:p>
      <w:pPr>
        <w:spacing w:after="120" w:before="40"/>
      </w:pPr>
      <w:r>
        <w:rPr>
          <w:rFonts w:ascii="Century Gothic" w:cs="Century Gothic" w:eastAsia="Century Gothic" w:hAnsi="Century Gothic"/>
          <w:b w:val="false"/>
          <w:bCs w:val="false"/>
          <w:i/>
          <w:iCs/>
          <w:color w:val="7A7468"/>
          <w:sz w:val="18"/>
          <w:szCs w:val="18"/>
        </w:rPr>
        <w:t xml:space="preserve">Source: Philadelphia L&amp;I Permit Database  |  CoStar (via Shonda)  |  Philadelphia City Planning Commission  |  Prompt 3D</w:t>
      </w:r>
    </w:p>
    <w:p>
      <w:r>
        <w:br/>
      </w:r>
    </w:p>
    <w:p>
      <w:pPr>
        <w:spacing w:after="80" w:before="0"/>
      </w:pPr>
    </w:p>
    <w:p>
      <w:pPr>
        <w:pStyle w:val="Heading1"/>
        <w:spacing w:after="0" w:before="0"/>
      </w:pPr>
      <w:r>
        <w:rPr>
          <w:rFonts w:ascii="Century Gothic" w:cs="Century Gothic" w:eastAsia="Century Gothic" w:hAnsi="Century Gothic"/>
          <w:b/>
          <w:bCs/>
          <w:i w:val="false"/>
          <w:iCs w:val="false"/>
          <w:color w:val="EBF2EC"/>
          <w:sz w:val="96"/>
          <w:szCs w:val="96"/>
        </w:rPr>
        <w:t xml:space="preserve">10</w:t>
      </w:r>
    </w:p>
    <w:p>
      <w:pPr>
        <w:pBdr>
          <w:bottom w:val="single" w:color="3E6844" w:sz="8" w:space="4"/>
        </w:pBdr>
        <w:spacing w:after="60" w:before="60"/>
      </w:pPr>
    </w:p>
    <w:p>
      <w:pPr>
        <w:pStyle w:val="Heading1"/>
        <w:spacing w:after="160" w:before="80"/>
      </w:pPr>
      <w:r>
        <w:rPr>
          <w:rFonts w:ascii="Century Gothic" w:cs="Century Gothic" w:eastAsia="Century Gothic" w:hAnsi="Century Gothic"/>
          <w:b/>
          <w:bCs/>
          <w:i w:val="false"/>
          <w:iCs w:val="false"/>
          <w:color w:val="2A2820"/>
          <w:sz w:val="32"/>
          <w:szCs w:val="32"/>
        </w:rPr>
        <w:t xml:space="preserve">UNIT MIX &amp; RENT ROLL DETAIL</w:t>
      </w:r>
    </w:p>
    <w:p>
      <w:pPr>
        <w:spacing w:after="140" w:before="0"/>
        <w:jc w:val="both"/>
      </w:pPr>
      <w:r>
        <w:rPr>
          <w:rFonts w:ascii="Century Gothic" w:cs="Century Gothic" w:eastAsia="Century Gothic" w:hAnsi="Century Gothic"/>
          <w:color w:val="7B3F00"/>
          <w:sz w:val="22"/>
          <w:szCs w:val="22"/>
          <w:highlight w:val="yellow"/>
        </w:rPr>
        <w:t xml:space="preserve">{{ rent_roll_intro }}</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10.1  Unit Mix Summary</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620"/>
        <w:gridCol w:w="900"/>
        <w:gridCol w:w="900"/>
        <w:gridCol w:w="1440"/>
        <w:gridCol w:w="1440"/>
        <w:gridCol w:w="1800"/>
      </w:tblGrid>
      <w:tr>
        <w:tc>
          <w:tcPr>
            <w:tcW w:type="dxa" w:w="16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Unit Type</w:t>
            </w:r>
          </w:p>
        </w:tc>
        <w:tc>
          <w:tcPr>
            <w:tcW w:type="dxa" w:w="90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Count</w:t>
            </w:r>
          </w:p>
        </w:tc>
        <w:tc>
          <w:tcPr>
            <w:tcW w:type="dxa" w:w="90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Avg SF</w:t>
            </w:r>
          </w:p>
        </w:tc>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Current Rent</w:t>
            </w:r>
          </w:p>
        </w:tc>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Market Rent</w:t>
            </w:r>
          </w:p>
        </w:tc>
        <w:tc>
          <w:tcPr>
            <w:tcW w:type="dxa" w:w="180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 of GPR</w:t>
            </w:r>
          </w:p>
        </w:tc>
      </w:tr>
      <w:tr>
        <w:tc>
          <w:tcPr>
            <w:tcW w:type="dxa" w:w="16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unit_mix_table }}</w:t>
            </w:r>
          </w:p>
        </w:tc>
        <w:tc>
          <w:tcPr>
            <w:tcW w:type="dxa" w:w="90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90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80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Unit mix summary — count, SF, current vs. market rent per type</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10.2  Full Rent Roll</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900"/>
        <w:gridCol w:w="720"/>
        <w:gridCol w:w="720"/>
        <w:gridCol w:w="1260"/>
        <w:gridCol w:w="1080"/>
        <w:gridCol w:w="1080"/>
        <w:gridCol w:w="1080"/>
        <w:gridCol w:w="1080"/>
        <w:gridCol w:w="540"/>
      </w:tblGrid>
      <w:tr>
        <w:tc>
          <w:tcPr>
            <w:tcW w:type="dxa" w:w="90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Unit #</w:t>
            </w:r>
          </w:p>
        </w:tc>
        <w:tc>
          <w:tcPr>
            <w:tcW w:type="dxa" w:w="7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Type</w:t>
            </w:r>
          </w:p>
        </w:tc>
        <w:tc>
          <w:tcPr>
            <w:tcW w:type="dxa" w:w="7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SF</w:t>
            </w:r>
          </w:p>
        </w:tc>
        <w:tc>
          <w:tcPr>
            <w:tcW w:type="dxa" w:w="12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Tenant</w:t>
            </w:r>
          </w:p>
        </w:tc>
        <w:tc>
          <w:tcPr>
            <w:tcW w:type="dxa" w:w="1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Current Rent</w:t>
            </w:r>
          </w:p>
        </w:tc>
        <w:tc>
          <w:tcPr>
            <w:tcW w:type="dxa" w:w="1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Market Rent</w:t>
            </w:r>
          </w:p>
        </w:tc>
        <w:tc>
          <w:tcPr>
            <w:tcW w:type="dxa" w:w="1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Lease Start</w:t>
            </w:r>
          </w:p>
        </w:tc>
        <w:tc>
          <w:tcPr>
            <w:tcW w:type="dxa" w:w="1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Lease End</w:t>
            </w:r>
          </w:p>
        </w:tc>
        <w:tc>
          <w:tcPr>
            <w:tcW w:type="dxa" w:w="5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Status</w:t>
            </w:r>
          </w:p>
        </w:tc>
      </w:tr>
      <w:tr>
        <w:tc>
          <w:tcPr>
            <w:tcW w:type="dxa" w:w="90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rent_roll_table }}</w:t>
            </w:r>
          </w:p>
        </w:tc>
        <w:tc>
          <w:tcPr>
            <w:tcW w:type="dxa" w:w="7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7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2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5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Complete unit-by-unit rent roll</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10.3  Income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1440"/>
        <w:gridCol w:w="3600"/>
      </w:tblGrid>
      <w:tr>
        <w:tc>
          <w:tcPr>
            <w:tcW w:type="dxa" w:w="25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Income Category</w:t>
            </w:r>
          </w:p>
        </w:tc>
        <w:tc>
          <w:tcPr>
            <w:tcW w:type="dxa" w:w="180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Annual Amount</w:t>
            </w:r>
          </w:p>
        </w:tc>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 of GPR</w:t>
            </w:r>
          </w:p>
        </w:tc>
        <w:tc>
          <w:tcPr>
            <w:tcW w:type="dxa" w:w="360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Notes</w:t>
            </w:r>
          </w:p>
        </w:tc>
      </w:tr>
      <w:tr>
        <w:tc>
          <w:tcPr>
            <w:tcW w:type="dxa" w:w="25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income_summary_table }}</w:t>
            </w:r>
          </w:p>
        </w:tc>
        <w:tc>
          <w:tcPr>
            <w:tcW w:type="dxa" w:w="180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360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GPR, vacancy loss, concessions, EGR, other income rollup</w:t>
      </w:r>
    </w:p>
    <w:p>
      <w:pPr>
        <w:spacing w:after="120" w:before="40"/>
      </w:pPr>
      <w:r>
        <w:rPr>
          <w:rFonts w:ascii="Century Gothic" w:cs="Century Gothic" w:eastAsia="Century Gothic" w:hAnsi="Century Gothic"/>
          <w:b w:val="false"/>
          <w:bCs w:val="false"/>
          <w:i/>
          <w:iCs/>
          <w:color w:val="7A7468"/>
          <w:sz w:val="18"/>
          <w:szCs w:val="18"/>
        </w:rPr>
        <w:t xml:space="preserve">Source: Offering Memorandum  |  T-12 Financial Statements  |  HUD FMR FY2025 (huduser.gov)</w:t>
      </w:r>
    </w:p>
    <w:p>
      <w:r>
        <w:br/>
      </w:r>
    </w:p>
    <w:p>
      <w:pPr>
        <w:spacing w:after="80" w:before="0"/>
      </w:pPr>
    </w:p>
    <w:p>
      <w:pPr>
        <w:pStyle w:val="Heading1"/>
        <w:spacing w:after="0" w:before="0"/>
      </w:pPr>
      <w:r>
        <w:rPr>
          <w:rFonts w:ascii="Century Gothic" w:cs="Century Gothic" w:eastAsia="Century Gothic" w:hAnsi="Century Gothic"/>
          <w:b/>
          <w:bCs/>
          <w:i w:val="false"/>
          <w:iCs w:val="false"/>
          <w:color w:val="EBF2EC"/>
          <w:sz w:val="96"/>
          <w:szCs w:val="96"/>
        </w:rPr>
        <w:t xml:space="preserve">11</w:t>
      </w:r>
    </w:p>
    <w:p>
      <w:pPr>
        <w:pBdr>
          <w:bottom w:val="single" w:color="3E6844" w:sz="8" w:space="4"/>
        </w:pBdr>
        <w:spacing w:after="60" w:before="60"/>
      </w:pPr>
    </w:p>
    <w:p>
      <w:pPr>
        <w:pStyle w:val="Heading1"/>
        <w:spacing w:after="160" w:before="80"/>
      </w:pPr>
      <w:r>
        <w:rPr>
          <w:rFonts w:ascii="Century Gothic" w:cs="Century Gothic" w:eastAsia="Century Gothic" w:hAnsi="Century Gothic"/>
          <w:b/>
          <w:bCs/>
          <w:i w:val="false"/>
          <w:iCs w:val="false"/>
          <w:color w:val="2A2820"/>
          <w:sz w:val="32"/>
          <w:szCs w:val="32"/>
        </w:rPr>
        <w:t xml:space="preserve">COMPARABLE MARKET ANALYSIS</w:t>
      </w: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11.1  Residential Rent Comparables</w:t>
      </w:r>
    </w:p>
    <w:p>
      <w:pPr>
        <w:spacing w:after="140" w:before="0"/>
        <w:jc w:val="both"/>
      </w:pPr>
      <w:r>
        <w:rPr>
          <w:rFonts w:ascii="Century Gothic" w:cs="Century Gothic" w:eastAsia="Century Gothic" w:hAnsi="Century Gothic"/>
          <w:color w:val="7B3F00"/>
          <w:sz w:val="22"/>
          <w:szCs w:val="22"/>
          <w:highlight w:val="yellow"/>
        </w:rPr>
        <w:t xml:space="preserve">{{ rent_comp_narrative }}</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980"/>
        <w:gridCol w:w="1080"/>
        <w:gridCol w:w="720"/>
        <w:gridCol w:w="900"/>
        <w:gridCol w:w="720"/>
        <w:gridCol w:w="900"/>
        <w:gridCol w:w="1260"/>
      </w:tblGrid>
      <w:tr>
        <w:tc>
          <w:tcPr>
            <w:tcW w:type="dxa" w:w="19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Property</w:t>
            </w:r>
          </w:p>
        </w:tc>
        <w:tc>
          <w:tcPr>
            <w:tcW w:type="dxa" w:w="1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Type</w:t>
            </w:r>
          </w:p>
        </w:tc>
        <w:tc>
          <w:tcPr>
            <w:tcW w:type="dxa" w:w="7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Beds</w:t>
            </w:r>
          </w:p>
        </w:tc>
        <w:tc>
          <w:tcPr>
            <w:tcW w:type="dxa" w:w="90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Rent/Mo</w:t>
            </w:r>
          </w:p>
        </w:tc>
        <w:tc>
          <w:tcPr>
            <w:tcW w:type="dxa" w:w="7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$/SF</w:t>
            </w:r>
          </w:p>
        </w:tc>
        <w:tc>
          <w:tcPr>
            <w:tcW w:type="dxa" w:w="90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Distance</w:t>
            </w:r>
          </w:p>
        </w:tc>
        <w:tc>
          <w:tcPr>
            <w:tcW w:type="dxa" w:w="12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Note</w:t>
            </w:r>
          </w:p>
        </w:tc>
      </w:tr>
      <w:tr>
        <w:tc>
          <w:tcPr>
            <w:tcW w:type="dxa" w:w="19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rent_comp_table }}</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7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90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7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90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2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Rent comp table — 8 comps with HUD FMR benchmarks</w:t>
      </w:r>
    </w:p>
    <w:p>
      <w:pPr>
        <w:spacing w:after="120" w:before="40"/>
      </w:pPr>
      <w:r>
        <w:rPr>
          <w:rFonts w:ascii="Century Gothic" w:cs="Century Gothic" w:eastAsia="Century Gothic" w:hAnsi="Century Gothic"/>
          <w:b w:val="false"/>
          <w:bCs w:val="false"/>
          <w:i/>
          <w:iCs/>
          <w:color w:val="7A7468"/>
          <w:sz w:val="18"/>
          <w:szCs w:val="18"/>
        </w:rPr>
        <w:t xml:space="preserve">Source: Zillow ZORI  |  Redfin  |  HUD FMR FY2025 (huduser.gov)</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11.2  Commercial Rent Comparables</w:t>
      </w:r>
    </w:p>
    <w:p>
      <w:pPr>
        <w:spacing w:after="140" w:before="0"/>
        <w:jc w:val="both"/>
      </w:pPr>
      <w:r>
        <w:rPr>
          <w:rFonts w:ascii="Century Gothic" w:cs="Century Gothic" w:eastAsia="Century Gothic" w:hAnsi="Century Gothic"/>
          <w:color w:val="7B3F00"/>
          <w:sz w:val="22"/>
          <w:szCs w:val="22"/>
          <w:highlight w:val="yellow"/>
        </w:rPr>
        <w:t xml:space="preserve">{{ commercial_comp_narrative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1440"/>
        <w:gridCol w:w="1800"/>
        <w:gridCol w:w="2520"/>
      </w:tblGrid>
      <w:tr>
        <w:tc>
          <w:tcPr>
            <w:tcW w:type="dxa" w:w="25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Address</w:t>
            </w:r>
          </w:p>
        </w:tc>
        <w:tc>
          <w:tcPr>
            <w:tcW w:type="dxa" w:w="1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SF</w:t>
            </w:r>
          </w:p>
        </w:tc>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Use</w:t>
            </w:r>
          </w:p>
        </w:tc>
        <w:tc>
          <w:tcPr>
            <w:tcW w:type="dxa" w:w="180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Asking Rent</w:t>
            </w:r>
          </w:p>
        </w:tc>
        <w:tc>
          <w:tcPr>
            <w:tcW w:type="dxa" w:w="25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Terms</w:t>
            </w:r>
          </w:p>
        </w:tc>
      </w:tr>
      <w:tr>
        <w:tc>
          <w:tcPr>
            <w:tcW w:type="dxa" w:w="25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commercial_comp_table }}</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80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5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Commercial comp table — 5 comparables</w:t>
      </w:r>
    </w:p>
    <w:p>
      <w:pPr>
        <w:spacing w:after="120" w:before="40"/>
      </w:pPr>
      <w:r>
        <w:rPr>
          <w:rFonts w:ascii="Century Gothic" w:cs="Century Gothic" w:eastAsia="Century Gothic" w:hAnsi="Century Gothic"/>
          <w:b w:val="false"/>
          <w:bCs w:val="false"/>
          <w:i/>
          <w:iCs/>
          <w:color w:val="7A7468"/>
          <w:sz w:val="18"/>
          <w:szCs w:val="18"/>
        </w:rPr>
        <w:t xml:space="preserve">Source: Crexi  |  LoopNet  |  CoStar (via Shonda)</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11.3  Sale Comparables</w:t>
      </w:r>
    </w:p>
    <w:p>
      <w:pPr>
        <w:spacing w:after="140" w:before="0"/>
        <w:jc w:val="both"/>
      </w:pPr>
      <w:r>
        <w:rPr>
          <w:rFonts w:ascii="Century Gothic" w:cs="Century Gothic" w:eastAsia="Century Gothic" w:hAnsi="Century Gothic"/>
          <w:color w:val="7B3F00"/>
          <w:sz w:val="22"/>
          <w:szCs w:val="22"/>
          <w:highlight w:val="yellow"/>
        </w:rPr>
        <w:t xml:space="preserve">{{ sale_comp_narrative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1440"/>
        <w:gridCol w:w="1080"/>
        <w:gridCol w:w="1080"/>
        <w:gridCol w:w="2520"/>
      </w:tblGrid>
      <w:tr>
        <w:tc>
          <w:tcPr>
            <w:tcW w:type="dxa" w:w="21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Address</w:t>
            </w:r>
          </w:p>
        </w:tc>
        <w:tc>
          <w:tcPr>
            <w:tcW w:type="dxa" w:w="1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Sale Date</w:t>
            </w:r>
          </w:p>
        </w:tc>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Price</w:t>
            </w:r>
          </w:p>
        </w:tc>
        <w:tc>
          <w:tcPr>
            <w:tcW w:type="dxa" w:w="1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Price/SF</w:t>
            </w:r>
          </w:p>
        </w:tc>
        <w:tc>
          <w:tcPr>
            <w:tcW w:type="dxa" w:w="1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Cap Rate</w:t>
            </w:r>
          </w:p>
        </w:tc>
        <w:tc>
          <w:tcPr>
            <w:tcW w:type="dxa" w:w="25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Similarity</w:t>
            </w:r>
          </w:p>
        </w:tc>
      </w:tr>
      <w:tr>
        <w:tc>
          <w:tcPr>
            <w:tcW w:type="dxa" w:w="21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sale_comp_table }}</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5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Sale comp table — price, cap rate, similarity to subject</w:t>
      </w:r>
    </w:p>
    <w:p>
      <w:pPr>
        <w:spacing w:after="120" w:before="40"/>
      </w:pPr>
      <w:r>
        <w:rPr>
          <w:rFonts w:ascii="Century Gothic" w:cs="Century Gothic" w:eastAsia="Century Gothic" w:hAnsi="Century Gothic"/>
          <w:b w:val="false"/>
          <w:bCs w:val="false"/>
          <w:i/>
          <w:iCs/>
          <w:color w:val="7A7468"/>
          <w:sz w:val="18"/>
          <w:szCs w:val="18"/>
        </w:rPr>
        <w:t xml:space="preserve">Source: CoStar (via Shonda) — recommended for comprehensive sale comp analysis</w:t>
      </w:r>
    </w:p>
    <w:p>
      <w:r>
        <w:br/>
      </w:r>
    </w:p>
    <w:p>
      <w:pPr>
        <w:spacing w:after="80" w:before="0"/>
      </w:pPr>
    </w:p>
    <w:p>
      <w:pPr>
        <w:pStyle w:val="Heading1"/>
        <w:spacing w:after="0" w:before="0"/>
      </w:pPr>
      <w:r>
        <w:rPr>
          <w:rFonts w:ascii="Century Gothic" w:cs="Century Gothic" w:eastAsia="Century Gothic" w:hAnsi="Century Gothic"/>
          <w:b/>
          <w:bCs/>
          <w:i w:val="false"/>
          <w:iCs w:val="false"/>
          <w:color w:val="EBF2EC"/>
          <w:sz w:val="96"/>
          <w:szCs w:val="96"/>
        </w:rPr>
        <w:t xml:space="preserve">12</w:t>
      </w:r>
    </w:p>
    <w:p>
      <w:pPr>
        <w:pBdr>
          <w:bottom w:val="single" w:color="3E6844" w:sz="8" w:space="4"/>
        </w:pBdr>
        <w:spacing w:after="60" w:before="60"/>
      </w:pPr>
    </w:p>
    <w:p>
      <w:pPr>
        <w:pStyle w:val="Heading1"/>
        <w:spacing w:after="160" w:before="80"/>
      </w:pPr>
      <w:r>
        <w:rPr>
          <w:rFonts w:ascii="Century Gothic" w:cs="Century Gothic" w:eastAsia="Century Gothic" w:hAnsi="Century Gothic"/>
          <w:b/>
          <w:bCs/>
          <w:i w:val="false"/>
          <w:iCs w:val="false"/>
          <w:color w:val="2A2820"/>
          <w:sz w:val="32"/>
          <w:szCs w:val="32"/>
        </w:rPr>
        <w:t xml:space="preserve">FINANCIAL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E6844" w:sz="20"/>
              <w:bottom w:val="none" w:color="FFFFFF" w:sz="0"/>
              <w:right w:val="none" w:color="FFFFFF" w:sz="0"/>
            </w:tcBorders>
            <w:shd w:fill="EBF2EC" w:val="clear"/>
            <w:tcMar>
              <w:top w:type="dxa" w:w="120"/>
              <w:left w:type="dxa" w:w="200"/>
              <w:bottom w:type="dxa" w:w="120"/>
              <w:right w:type="dxa" w:w="160"/>
            </w:tcMar>
          </w:tcPr>
          <w:p>
            <w:pPr>
              <w:spacing w:after="0" w:before="0"/>
            </w:pPr>
            <w:r>
              <w:rPr>
                <w:rFonts w:ascii="Century Gothic" w:cs="Century Gothic" w:eastAsia="Century Gothic" w:hAnsi="Century Gothic"/>
                <w:color w:val="7B3F00"/>
                <w:sz w:val="22"/>
                <w:szCs w:val="22"/>
                <w:highlight w:val="yellow"/>
              </w:rPr>
              <w:t xml:space="preserve">{{ financial_pullquote }}</w:t>
            </w:r>
          </w:p>
        </w:tc>
      </w:tr>
    </w:tbl>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12.1  Underwriting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440"/>
        <w:gridCol w:w="3960"/>
      </w:tblGrid>
      <w:tr>
        <w:tc>
          <w:tcPr>
            <w:tcW w:type="dxa" w:w="21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Parameter</w:t>
            </w:r>
          </w:p>
        </w:tc>
        <w:tc>
          <w:tcPr>
            <w:tcW w:type="dxa" w:w="180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Value</w:t>
            </w:r>
          </w:p>
        </w:tc>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Category</w:t>
            </w:r>
          </w:p>
        </w:tc>
        <w:tc>
          <w:tcPr>
            <w:tcW w:type="dxa" w:w="39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Notes</w:t>
            </w:r>
          </w:p>
        </w:tc>
      </w:tr>
      <w:tr>
        <w:tc>
          <w:tcPr>
            <w:tcW w:type="dxa" w:w="21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assumptions_table }}</w:t>
            </w:r>
          </w:p>
        </w:tc>
        <w:tc>
          <w:tcPr>
            <w:tcW w:type="dxa" w:w="180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39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16+ underwriting parameters — acquisition, construction, financing, hold, exit</w:t>
      </w:r>
    </w:p>
    <w:p>
      <w:pPr>
        <w:spacing w:after="120" w:before="40"/>
      </w:pPr>
      <w:r>
        <w:rPr>
          <w:rFonts w:ascii="Century Gothic" w:cs="Century Gothic" w:eastAsia="Century Gothic" w:hAnsi="Century Gothic"/>
          <w:b w:val="false"/>
          <w:bCs w:val="false"/>
          <w:i/>
          <w:iCs/>
          <w:color w:val="7A7468"/>
          <w:sz w:val="18"/>
          <w:szCs w:val="18"/>
        </w:rPr>
        <w:t xml:space="preserve">Source: DealDesk standard underwriting assumptions  |  HUD FMR FY2025  |  RS Means 2025</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12.2  Sources &amp;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080"/>
        <w:gridCol w:w="3960"/>
      </w:tblGrid>
      <w:tr>
        <w:tc>
          <w:tcPr>
            <w:tcW w:type="dxa" w:w="28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Line Item</w:t>
            </w:r>
          </w:p>
        </w:tc>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Amount</w:t>
            </w:r>
          </w:p>
        </w:tc>
        <w:tc>
          <w:tcPr>
            <w:tcW w:type="dxa" w:w="1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 of Total</w:t>
            </w:r>
          </w:p>
        </w:tc>
        <w:tc>
          <w:tcPr>
            <w:tcW w:type="dxa" w:w="39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Notes</w:t>
            </w:r>
          </w:p>
        </w:tc>
      </w:tr>
      <w:tr>
        <w:tc>
          <w:tcPr>
            <w:tcW w:type="dxa" w:w="28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sources_uses_table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39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Full Sources &amp; Uses — acquisition, construction, financing costs, and sources</w:t>
      </w:r>
    </w:p>
    <w:p>
      <w:pPr>
        <w:spacing w:after="140" w:before="0"/>
        <w:jc w:val="both"/>
      </w:pPr>
      <w:r>
        <w:rPr>
          <w:rFonts w:ascii="Century Gothic" w:cs="Century Gothic" w:eastAsia="Century Gothic" w:hAnsi="Century Gothic"/>
          <w:color w:val="7B3F00"/>
          <w:sz w:val="22"/>
          <w:szCs w:val="22"/>
          <w:highlight w:val="yellow"/>
        </w:rPr>
        <w:t xml:space="preserve">{{ sources_uses_narrative }}</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12.3  Construction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440"/>
        <w:gridCol w:w="900"/>
        <w:gridCol w:w="3060"/>
      </w:tblGrid>
      <w:tr>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Category</w:t>
            </w:r>
          </w:p>
        </w:tc>
        <w:tc>
          <w:tcPr>
            <w:tcW w:type="dxa" w:w="25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Line Item</w:t>
            </w:r>
          </w:p>
        </w:tc>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Amount</w:t>
            </w:r>
          </w:p>
        </w:tc>
        <w:tc>
          <w:tcPr>
            <w:tcW w:type="dxa" w:w="90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$/SF</w:t>
            </w:r>
          </w:p>
        </w:tc>
        <w:tc>
          <w:tcPr>
            <w:tcW w:type="dxa" w:w="30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Notes</w:t>
            </w:r>
          </w:p>
        </w:tc>
      </w:tr>
      <w:tr>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construction_budget_table }}</w:t>
            </w:r>
          </w:p>
        </w:tc>
        <w:tc>
          <w:tcPr>
            <w:tcW w:type="dxa" w:w="25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90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30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Itemized construction budget</w:t>
      </w:r>
    </w:p>
    <w:p>
      <w:pPr>
        <w:spacing w:after="140" w:before="0"/>
        <w:jc w:val="both"/>
      </w:pPr>
      <w:r>
        <w:rPr>
          <w:rFonts w:ascii="Century Gothic" w:cs="Century Gothic" w:eastAsia="Century Gothic" w:hAnsi="Century Gothic"/>
          <w:color w:val="7B3F00"/>
          <w:sz w:val="22"/>
          <w:szCs w:val="22"/>
          <w:highlight w:val="yellow"/>
        </w:rPr>
        <w:t xml:space="preserve">{{ construction_budget_narrative }}</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12.4  Ten-Year Pro 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E6844" w:sz="20"/>
              <w:bottom w:val="none" w:color="FFFFFF" w:sz="0"/>
              <w:right w:val="none" w:color="FFFFFF" w:sz="0"/>
            </w:tcBorders>
            <w:shd w:fill="EBF2EC" w:val="clear"/>
            <w:tcMar>
              <w:top w:type="dxa" w:w="120"/>
              <w:left w:type="dxa" w:w="200"/>
              <w:bottom w:type="dxa" w:w="120"/>
              <w:right w:type="dxa" w:w="160"/>
            </w:tcMar>
          </w:tcPr>
          <w:p>
            <w:pPr>
              <w:spacing w:after="0" w:before="0"/>
            </w:pPr>
            <w:r>
              <w:rPr>
                <w:rFonts w:ascii="Century Gothic" w:cs="Century Gothic" w:eastAsia="Century Gothic" w:hAnsi="Century Gothic"/>
                <w:color w:val="7B3F00"/>
                <w:sz w:val="22"/>
                <w:szCs w:val="22"/>
                <w:highlight w:val="yellow"/>
              </w:rPr>
              <w:t xml:space="preserve">{{ proforma_pullquote }}</w:t>
            </w:r>
          </w:p>
        </w:tc>
      </w:tr>
    </w:tbl>
    <w:p>
      <w:pPr>
        <w:spacing w:after="80" w:before="0"/>
      </w:pPr>
    </w:p>
    <w:p>
      <w:pPr>
        <w:spacing w:after="140" w:before="0"/>
        <w:jc w:val="both"/>
      </w:pPr>
      <w:r>
        <w:rPr>
          <w:rFonts w:ascii="Century Gothic" w:cs="Century Gothic" w:eastAsia="Century Gothic" w:hAnsi="Century Gothic"/>
          <w:color w:val="7B3F00"/>
          <w:sz w:val="22"/>
          <w:szCs w:val="22"/>
          <w:highlight w:val="yellow"/>
        </w:rPr>
        <w:t xml:space="preserve">{{ proforma_narrative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76"/>
        <w:gridCol w:w="936"/>
        <w:gridCol w:w="936"/>
        <w:gridCol w:w="936"/>
        <w:gridCol w:w="936"/>
        <w:gridCol w:w="1080"/>
        <w:gridCol w:w="936"/>
        <w:gridCol w:w="828"/>
        <w:gridCol w:w="1196"/>
      </w:tblGrid>
      <w:tr>
        <w:tc>
          <w:tcPr>
            <w:tcW w:type="dxa" w:w="576"/>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Year</w:t>
            </w:r>
          </w:p>
        </w:tc>
        <w:tc>
          <w:tcPr>
            <w:tcW w:type="dxa" w:w="936"/>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GPR</w:t>
            </w:r>
          </w:p>
        </w:tc>
        <w:tc>
          <w:tcPr>
            <w:tcW w:type="dxa" w:w="936"/>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EGR</w:t>
            </w:r>
          </w:p>
        </w:tc>
        <w:tc>
          <w:tcPr>
            <w:tcW w:type="dxa" w:w="936"/>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OpEx</w:t>
            </w:r>
          </w:p>
        </w:tc>
        <w:tc>
          <w:tcPr>
            <w:tcW w:type="dxa" w:w="936"/>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NOI</w:t>
            </w:r>
          </w:p>
        </w:tc>
        <w:tc>
          <w:tcPr>
            <w:tcW w:type="dxa" w:w="1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Debt Svc</w:t>
            </w:r>
          </w:p>
        </w:tc>
        <w:tc>
          <w:tcPr>
            <w:tcW w:type="dxa" w:w="936"/>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CFBT</w:t>
            </w:r>
          </w:p>
        </w:tc>
        <w:tc>
          <w:tcPr>
            <w:tcW w:type="dxa" w:w="828"/>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CoC</w:t>
            </w:r>
          </w:p>
        </w:tc>
        <w:tc>
          <w:tcPr>
            <w:tcW w:type="dxa" w:w="1196"/>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DSCR</w:t>
            </w:r>
          </w:p>
        </w:tc>
      </w:tr>
      <w:tr>
        <w:tc>
          <w:tcPr>
            <w:tcW w:type="dxa" w:w="576"/>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proforma_table }}</w:t>
            </w:r>
          </w:p>
        </w:tc>
        <w:tc>
          <w:tcPr>
            <w:tcW w:type="dxa" w:w="936"/>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936"/>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936"/>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936"/>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936"/>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828"/>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196"/>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Full 10-year pro forma</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EBF2EC"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2A4A2E"/>
                <w:sz w:val="20"/>
                <w:szCs w:val="20"/>
              </w:rPr>
              <w:t xml:space="preserve">{{ proforma_charts }}</w:t>
            </w:r>
          </w:p>
          <w:p>
            <w:pPr>
              <w:spacing w:after="0" w:before="0"/>
              <w:jc w:val="center"/>
            </w:pPr>
            <w:r>
              <w:rPr>
                <w:rFonts w:ascii="Century Gothic" w:cs="Century Gothic" w:eastAsia="Century Gothic" w:hAnsi="Century Gothic"/>
                <w:b w:val="false"/>
                <w:bCs w:val="false"/>
                <w:i/>
                <w:iCs/>
                <w:color w:val="7A7468"/>
                <w:sz w:val="18"/>
                <w:szCs w:val="18"/>
              </w:rPr>
              <w:t xml:space="preserve">Pro Forma Charts — NOI &amp; CFBT bars + DSCR line chart with 1.20× minimum threshold</w:t>
            </w:r>
          </w:p>
        </w:tc>
      </w:tr>
    </w:tbl>
    <w:p>
      <w:pPr>
        <w:spacing w:after="80" w:before="60"/>
        <w:jc w:val="center"/>
      </w:pPr>
      <w:r>
        <w:rPr>
          <w:rFonts w:ascii="Century Gothic" w:cs="Century Gothic" w:eastAsia="Century Gothic" w:hAnsi="Century Gothic"/>
          <w:b w:val="false"/>
          <w:bCs w:val="false"/>
          <w:i/>
          <w:iCs/>
          <w:color w:val="7A7468"/>
          <w:sz w:val="18"/>
          <w:szCs w:val="18"/>
        </w:rPr>
        <w:t xml:space="preserve">Figure 12.1 — Pro Forma Charts  |  Source: DealDesk Underwriting Model</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12.5  Sensitivity Analysis</w:t>
      </w:r>
    </w:p>
    <w:p>
      <w:pPr>
        <w:spacing w:after="140" w:before="0"/>
        <w:jc w:val="both"/>
      </w:pPr>
      <w:r>
        <w:rPr>
          <w:rFonts w:ascii="Century Gothic" w:cs="Century Gothic" w:eastAsia="Century Gothic" w:hAnsi="Century Gothic"/>
          <w:color w:val="7B3F00"/>
          <w:sz w:val="22"/>
          <w:szCs w:val="22"/>
          <w:highlight w:val="yellow"/>
        </w:rPr>
        <w:t xml:space="preserve">{{ sensitivity_narrative }}</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EBF2EC"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2A4A2E"/>
                <w:sz w:val="20"/>
                <w:szCs w:val="20"/>
              </w:rPr>
              <w:t xml:space="preserve">{{ irr_heatmap }}</w:t>
            </w:r>
          </w:p>
          <w:p>
            <w:pPr>
              <w:spacing w:after="0" w:before="0"/>
              <w:jc w:val="center"/>
            </w:pPr>
            <w:r>
              <w:rPr>
                <w:rFonts w:ascii="Century Gothic" w:cs="Century Gothic" w:eastAsia="Century Gothic" w:hAnsi="Century Gothic"/>
                <w:b w:val="false"/>
                <w:bCs w:val="false"/>
                <w:i/>
                <w:iCs/>
                <w:color w:val="7A7468"/>
                <w:sz w:val="18"/>
                <w:szCs w:val="18"/>
              </w:rPr>
              <w:t xml:space="preserve">IRR Sensitivity Heatmap — 7×7 rent growth vs. exit cap rate, base case highlighted</w:t>
            </w:r>
          </w:p>
        </w:tc>
      </w:tr>
    </w:tbl>
    <w:p>
      <w:pPr>
        <w:spacing w:after="80" w:before="60"/>
        <w:jc w:val="center"/>
      </w:pPr>
      <w:r>
        <w:rPr>
          <w:rFonts w:ascii="Century Gothic" w:cs="Century Gothic" w:eastAsia="Century Gothic" w:hAnsi="Century Gothic"/>
          <w:b w:val="false"/>
          <w:bCs w:val="false"/>
          <w:i/>
          <w:iCs/>
          <w:color w:val="7A7468"/>
          <w:sz w:val="18"/>
          <w:szCs w:val="18"/>
        </w:rPr>
        <w:t xml:space="preserve">Figure 12.2 — IRR Heatmap  |  Base case highlighted  |  Source: DealDesk Underwriting Model</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12.6  Exit Analysis</w:t>
      </w:r>
    </w:p>
    <w:p>
      <w:pPr>
        <w:spacing w:after="140" w:before="0"/>
        <w:jc w:val="both"/>
      </w:pPr>
      <w:r>
        <w:rPr>
          <w:rFonts w:ascii="Century Gothic" w:cs="Century Gothic" w:eastAsia="Century Gothic" w:hAnsi="Century Gothic"/>
          <w:color w:val="7B3F00"/>
          <w:sz w:val="22"/>
          <w:szCs w:val="22"/>
          <w:highlight w:val="yellow"/>
        </w:rPr>
        <w:t xml:space="preserve">{{ exit_narrative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520"/>
        <w:gridCol w:w="3960"/>
      </w:tblGrid>
      <w:tr>
        <w:tc>
          <w:tcPr>
            <w:tcW w:type="dxa" w:w="28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Item</w:t>
            </w:r>
          </w:p>
        </w:tc>
        <w:tc>
          <w:tcPr>
            <w:tcW w:type="dxa" w:w="25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Amount</w:t>
            </w:r>
          </w:p>
        </w:tc>
        <w:tc>
          <w:tcPr>
            <w:tcW w:type="dxa" w:w="39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Notes</w:t>
            </w:r>
          </w:p>
        </w:tc>
      </w:tr>
      <w:tr>
        <w:tc>
          <w:tcPr>
            <w:tcW w:type="dxa" w:w="28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exit_table }}</w:t>
            </w:r>
          </w:p>
        </w:tc>
        <w:tc>
          <w:tcPr>
            <w:tcW w:type="dxa" w:w="25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39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Disposition proceeds, loan payoff, equity return summary</w:t>
      </w:r>
    </w:p>
    <w:p>
      <w:pPr>
        <w:spacing w:after="120" w:before="40"/>
      </w:pPr>
      <w:r>
        <w:rPr>
          <w:rFonts w:ascii="Century Gothic" w:cs="Century Gothic" w:eastAsia="Century Gothic" w:hAnsi="Century Gothic"/>
          <w:b w:val="false"/>
          <w:bCs w:val="false"/>
          <w:i/>
          <w:iCs/>
          <w:color w:val="7A7468"/>
          <w:sz w:val="18"/>
          <w:szCs w:val="18"/>
        </w:rPr>
        <w:t xml:space="preserve">Source: DealDesk Underwriting Model  |  Contractor LOI  |  Title company estimates</w:t>
      </w:r>
    </w:p>
    <w:p>
      <w:r>
        <w:br/>
      </w:r>
    </w:p>
    <w:p>
      <w:pPr>
        <w:spacing w:after="80" w:before="0"/>
      </w:pPr>
    </w:p>
    <w:p>
      <w:pPr>
        <w:pStyle w:val="Heading1"/>
        <w:spacing w:after="0" w:before="0"/>
      </w:pPr>
      <w:r>
        <w:rPr>
          <w:rFonts w:ascii="Century Gothic" w:cs="Century Gothic" w:eastAsia="Century Gothic" w:hAnsi="Century Gothic"/>
          <w:b/>
          <w:bCs/>
          <w:i w:val="false"/>
          <w:iCs w:val="false"/>
          <w:color w:val="EBF2EC"/>
          <w:sz w:val="96"/>
          <w:szCs w:val="96"/>
        </w:rPr>
        <w:t xml:space="preserve">13</w:t>
      </w:r>
    </w:p>
    <w:p>
      <w:pPr>
        <w:pBdr>
          <w:bottom w:val="single" w:color="3E6844" w:sz="8" w:space="4"/>
        </w:pBdr>
        <w:spacing w:after="60" w:before="60"/>
      </w:pPr>
    </w:p>
    <w:p>
      <w:pPr>
        <w:pStyle w:val="Heading1"/>
        <w:spacing w:after="160" w:before="80"/>
      </w:pPr>
      <w:r>
        <w:rPr>
          <w:rFonts w:ascii="Century Gothic" w:cs="Century Gothic" w:eastAsia="Century Gothic" w:hAnsi="Century Gothic"/>
          <w:b/>
          <w:bCs/>
          <w:i w:val="false"/>
          <w:iCs w:val="false"/>
          <w:color w:val="2A2820"/>
          <w:sz w:val="32"/>
          <w:szCs w:val="32"/>
        </w:rPr>
        <w:t xml:space="preserve">DEBT &amp; CAPITAL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E6844" w:sz="20"/>
              <w:bottom w:val="none" w:color="FFFFFF" w:sz="0"/>
              <w:right w:val="none" w:color="FFFFFF" w:sz="0"/>
            </w:tcBorders>
            <w:shd w:fill="EBF2EC" w:val="clear"/>
            <w:tcMar>
              <w:top w:type="dxa" w:w="120"/>
              <w:left w:type="dxa" w:w="200"/>
              <w:bottom w:type="dxa" w:w="120"/>
              <w:right w:type="dxa" w:w="160"/>
            </w:tcMar>
          </w:tcPr>
          <w:p>
            <w:pPr>
              <w:spacing w:after="0" w:before="0"/>
            </w:pPr>
            <w:r>
              <w:rPr>
                <w:rFonts w:ascii="Century Gothic" w:cs="Century Gothic" w:eastAsia="Century Gothic" w:hAnsi="Century Gothic"/>
                <w:color w:val="7B3F00"/>
                <w:sz w:val="22"/>
                <w:szCs w:val="22"/>
                <w:highlight w:val="yellow"/>
              </w:rPr>
              <w:t xml:space="preserve">{{ capital_structure_pullquote }}</w:t>
            </w:r>
          </w:p>
        </w:tc>
      </w:tr>
    </w:tbl>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13.1  Capital Stack</w:t>
      </w:r>
    </w:p>
    <w:p>
      <w:pPr>
        <w:spacing w:after="140" w:before="0"/>
        <w:jc w:val="both"/>
      </w:pPr>
      <w:r>
        <w:rPr>
          <w:rFonts w:ascii="Century Gothic" w:cs="Century Gothic" w:eastAsia="Century Gothic" w:hAnsi="Century Gothic"/>
          <w:color w:val="7B3F00"/>
          <w:sz w:val="22"/>
          <w:szCs w:val="22"/>
          <w:highlight w:val="yellow"/>
        </w:rPr>
        <w:t xml:space="preserve">{{ capital_stack_narrative }}</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EBF2EC"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2A4A2E"/>
                <w:sz w:val="20"/>
                <w:szCs w:val="20"/>
              </w:rPr>
              <w:t xml:space="preserve">{{ capital_stack_diagram }}</w:t>
            </w:r>
          </w:p>
          <w:p>
            <w:pPr>
              <w:spacing w:after="0" w:before="0"/>
              <w:jc w:val="center"/>
            </w:pPr>
            <w:r>
              <w:rPr>
                <w:rFonts w:ascii="Century Gothic" w:cs="Century Gothic" w:eastAsia="Century Gothic" w:hAnsi="Century Gothic"/>
                <w:b w:val="false"/>
                <w:bCs w:val="false"/>
                <w:i/>
                <w:iCs/>
                <w:color w:val="7A7468"/>
                <w:sz w:val="18"/>
                <w:szCs w:val="18"/>
              </w:rPr>
              <w:t xml:space="preserve">Capital Stack Diagram — stacked bar + detail table (Senior Debt / Sponsor Equity)</w:t>
            </w:r>
          </w:p>
        </w:tc>
      </w:tr>
    </w:tbl>
    <w:p>
      <w:pPr>
        <w:spacing w:after="80" w:before="60"/>
        <w:jc w:val="center"/>
      </w:pPr>
      <w:r>
        <w:rPr>
          <w:rFonts w:ascii="Century Gothic" w:cs="Century Gothic" w:eastAsia="Century Gothic" w:hAnsi="Century Gothic"/>
          <w:b w:val="false"/>
          <w:bCs w:val="false"/>
          <w:i/>
          <w:iCs/>
          <w:color w:val="7A7468"/>
          <w:sz w:val="18"/>
          <w:szCs w:val="18"/>
        </w:rPr>
        <w:t xml:space="preserve">Figure 13.1 — Capital Stack  |  Source: DealDesk Underwriting Model</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13.2  Cash Waterfall &amp; Promote Structure</w:t>
      </w:r>
    </w:p>
    <w:p>
      <w:pPr>
        <w:spacing w:after="140" w:before="0"/>
        <w:jc w:val="both"/>
      </w:pPr>
      <w:r>
        <w:rPr>
          <w:rFonts w:ascii="Century Gothic" w:cs="Century Gothic" w:eastAsia="Century Gothic" w:hAnsi="Century Gothic"/>
          <w:color w:val="7B3F00"/>
          <w:sz w:val="22"/>
          <w:szCs w:val="22"/>
          <w:highlight w:val="yellow"/>
        </w:rPr>
        <w:t xml:space="preserve">{{ waterfall_narrative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2160"/>
        <w:gridCol w:w="2160"/>
      </w:tblGrid>
      <w:tr>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Tier</w:t>
            </w:r>
          </w:p>
        </w:tc>
        <w:tc>
          <w:tcPr>
            <w:tcW w:type="dxa" w:w="180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LP Return Hurdle</w:t>
            </w:r>
          </w:p>
        </w:tc>
        <w:tc>
          <w:tcPr>
            <w:tcW w:type="dxa" w:w="180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GP Promote</w:t>
            </w:r>
          </w:p>
        </w:tc>
        <w:tc>
          <w:tcPr>
            <w:tcW w:type="dxa" w:w="21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LP Split</w:t>
            </w:r>
          </w:p>
        </w:tc>
        <w:tc>
          <w:tcPr>
            <w:tcW w:type="dxa" w:w="21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GP Split</w:t>
            </w:r>
          </w:p>
        </w:tc>
      </w:tr>
      <w:tr>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waterfall_table }}</w:t>
            </w:r>
          </w:p>
        </w:tc>
        <w:tc>
          <w:tcPr>
            <w:tcW w:type="dxa" w:w="180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80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1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1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5-tier LP/GP promote structure</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13.3  Financing Options Comparison</w:t>
      </w:r>
    </w:p>
    <w:p>
      <w:pPr>
        <w:spacing w:after="140" w:before="0"/>
        <w:jc w:val="both"/>
      </w:pPr>
      <w:r>
        <w:rPr>
          <w:rFonts w:ascii="Century Gothic" w:cs="Century Gothic" w:eastAsia="Century Gothic" w:hAnsi="Century Gothic"/>
          <w:color w:val="7B3F00"/>
          <w:sz w:val="22"/>
          <w:szCs w:val="22"/>
          <w:highlight w:val="yellow"/>
        </w:rPr>
        <w:t xml:space="preserve">{{ debt_comparison_narrative }}</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EBF2EC"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2A4A2E"/>
                <w:sz w:val="20"/>
                <w:szCs w:val="20"/>
              </w:rPr>
              <w:t xml:space="preserve">{{ debt_comparison_table }}</w:t>
            </w:r>
          </w:p>
          <w:p>
            <w:pPr>
              <w:spacing w:after="0" w:before="0"/>
              <w:jc w:val="center"/>
            </w:pPr>
            <w:r>
              <w:rPr>
                <w:rFonts w:ascii="Century Gothic" w:cs="Century Gothic" w:eastAsia="Century Gothic" w:hAnsi="Century Gothic"/>
                <w:b w:val="false"/>
                <w:bCs w:val="false"/>
                <w:i/>
                <w:iCs/>
                <w:color w:val="7A7468"/>
                <w:sz w:val="18"/>
                <w:szCs w:val="18"/>
              </w:rPr>
              <w:t xml:space="preserve">Financing Options — 3-option comparison: Bridge / Freddie Mac SBL / Debt Fund, ★ RECOMMENDED highlighted</w:t>
            </w:r>
          </w:p>
        </w:tc>
      </w:tr>
    </w:tbl>
    <w:p>
      <w:pPr>
        <w:spacing w:after="80" w:before="60"/>
        <w:jc w:val="center"/>
      </w:pPr>
      <w:r>
        <w:rPr>
          <w:rFonts w:ascii="Century Gothic" w:cs="Century Gothic" w:eastAsia="Century Gothic" w:hAnsi="Century Gothic"/>
          <w:b w:val="false"/>
          <w:bCs w:val="false"/>
          <w:i/>
          <w:iCs/>
          <w:color w:val="7A7468"/>
          <w:sz w:val="18"/>
          <w:szCs w:val="18"/>
        </w:rPr>
        <w:t xml:space="preserve">Figure 13.2 — Financing Options  |  Rates as of </w:t>
      </w:r>
      <w:r>
        <w:rPr>
          <w:rFonts w:ascii="Century Gothic" w:cs="Century Gothic" w:eastAsia="Century Gothic" w:hAnsi="Century Gothic"/>
          <w:color w:val="7B3F00"/>
          <w:sz w:val="22"/>
          <w:szCs w:val="22"/>
          <w:highlight w:val="yellow"/>
        </w:rPr>
        <w:t xml:space="preserve">{{ report_date }}</w:t>
      </w:r>
    </w:p>
    <w:p>
      <w:pPr>
        <w:spacing w:after="120" w:before="40"/>
      </w:pPr>
      <w:r>
        <w:rPr>
          <w:rFonts w:ascii="Century Gothic" w:cs="Century Gothic" w:eastAsia="Century Gothic" w:hAnsi="Century Gothic"/>
          <w:b w:val="false"/>
          <w:bCs w:val="false"/>
          <w:i/>
          <w:iCs/>
          <w:color w:val="7A7468"/>
          <w:sz w:val="18"/>
          <w:szCs w:val="18"/>
        </w:rPr>
        <w:t xml:space="preserve">Source: Freddie Mac SBL program guide  |  Lender term sheets  |  SOFR &amp; Treasury benchmark rates</w:t>
      </w:r>
    </w:p>
    <w:p>
      <w:r>
        <w:br/>
      </w:r>
    </w:p>
    <w:p>
      <w:pPr>
        <w:spacing w:after="80" w:before="0"/>
      </w:pPr>
    </w:p>
    <w:p>
      <w:pPr>
        <w:pStyle w:val="Heading1"/>
        <w:spacing w:after="0" w:before="0"/>
      </w:pPr>
      <w:r>
        <w:rPr>
          <w:rFonts w:ascii="Century Gothic" w:cs="Century Gothic" w:eastAsia="Century Gothic" w:hAnsi="Century Gothic"/>
          <w:b/>
          <w:bCs/>
          <w:i w:val="false"/>
          <w:iCs w:val="false"/>
          <w:color w:val="EBF2EC"/>
          <w:sz w:val="96"/>
          <w:szCs w:val="96"/>
        </w:rPr>
        <w:t xml:space="preserve">14</w:t>
      </w:r>
    </w:p>
    <w:p>
      <w:pPr>
        <w:pBdr>
          <w:bottom w:val="single" w:color="3E6844" w:sz="8" w:space="4"/>
        </w:pBdr>
        <w:spacing w:after="60" w:before="60"/>
      </w:pPr>
    </w:p>
    <w:p>
      <w:pPr>
        <w:pStyle w:val="Heading1"/>
        <w:spacing w:after="160" w:before="80"/>
      </w:pPr>
      <w:r>
        <w:rPr>
          <w:rFonts w:ascii="Century Gothic" w:cs="Century Gothic" w:eastAsia="Century Gothic" w:hAnsi="Century Gothic"/>
          <w:b/>
          <w:bCs/>
          <w:i w:val="false"/>
          <w:iCs w:val="false"/>
          <w:color w:val="2A2820"/>
          <w:sz w:val="32"/>
          <w:szCs w:val="32"/>
        </w:rPr>
        <w:t xml:space="preserve">ENVIRONMENTAL &amp; CLIMATE RISK ASSESSMENT</w:t>
      </w:r>
    </w:p>
    <w:p>
      <w:pPr>
        <w:spacing w:after="140" w:before="0"/>
        <w:jc w:val="both"/>
      </w:pPr>
      <w:r>
        <w:rPr>
          <w:rFonts w:ascii="Century Gothic" w:cs="Century Gothic" w:eastAsia="Century Gothic" w:hAnsi="Century Gothic"/>
          <w:color w:val="7B3F00"/>
          <w:sz w:val="22"/>
          <w:szCs w:val="22"/>
          <w:highlight w:val="yellow"/>
        </w:rPr>
        <w:t xml:space="preserve">{{ environmental_intro }}</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14.1  Environmental Screening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2520"/>
        <w:gridCol w:w="2880"/>
      </w:tblGrid>
      <w:tr>
        <w:tc>
          <w:tcPr>
            <w:tcW w:type="dxa" w:w="21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Risk Factor</w:t>
            </w:r>
          </w:p>
        </w:tc>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Status</w:t>
            </w:r>
          </w:p>
        </w:tc>
        <w:tc>
          <w:tcPr>
            <w:tcW w:type="dxa" w:w="25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Source</w:t>
            </w:r>
          </w:p>
        </w:tc>
        <w:tc>
          <w:tcPr>
            <w:tcW w:type="dxa" w:w="28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Priority</w:t>
            </w:r>
          </w:p>
        </w:tc>
      </w:tr>
      <w:tr>
        <w:tc>
          <w:tcPr>
            <w:tcW w:type="dxa" w:w="21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environmental_table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5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8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Environmental screening — EPA brownfields, Phase I status, contamination history</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14.2  Climate Risk Assessment</w:t>
      </w:r>
    </w:p>
    <w:p>
      <w:pPr>
        <w:spacing w:after="140" w:before="0"/>
        <w:jc w:val="both"/>
      </w:pPr>
      <w:r>
        <w:rPr>
          <w:rFonts w:ascii="Century Gothic" w:cs="Century Gothic" w:eastAsia="Century Gothic" w:hAnsi="Century Gothic"/>
          <w:color w:val="7B3F00"/>
          <w:sz w:val="22"/>
          <w:szCs w:val="22"/>
          <w:highlight w:val="yellow"/>
        </w:rPr>
        <w:t xml:space="preserve">{{ climate_risk_narrative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2520"/>
        <w:gridCol w:w="2880"/>
      </w:tblGrid>
      <w:tr>
        <w:tc>
          <w:tcPr>
            <w:tcW w:type="dxa" w:w="21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Hazard Type</w:t>
            </w:r>
          </w:p>
        </w:tc>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Risk Score</w:t>
            </w:r>
          </w:p>
        </w:tc>
        <w:tc>
          <w:tcPr>
            <w:tcW w:type="dxa" w:w="252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Data Source</w:t>
            </w:r>
          </w:p>
        </w:tc>
        <w:tc>
          <w:tcPr>
            <w:tcW w:type="dxa" w:w="28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Notes</w:t>
            </w:r>
          </w:p>
        </w:tc>
      </w:tr>
      <w:tr>
        <w:tc>
          <w:tcPr>
            <w:tcW w:type="dxa" w:w="21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climate_risk_table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52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8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First Street Foundation scores — flood, fire, wind, heat, air quality</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14.3  Phase I / Phase II Status</w:t>
      </w:r>
    </w:p>
    <w:p>
      <w:pPr>
        <w:spacing w:after="140" w:before="0"/>
        <w:jc w:val="both"/>
      </w:pPr>
      <w:r>
        <w:rPr>
          <w:rFonts w:ascii="Century Gothic" w:cs="Century Gothic" w:eastAsia="Century Gothic" w:hAnsi="Century Gothic"/>
          <w:color w:val="7B3F00"/>
          <w:sz w:val="22"/>
          <w:szCs w:val="22"/>
          <w:highlight w:val="yellow"/>
        </w:rPr>
        <w:t xml:space="preserve">{{ phase_esa_narrative }}</w:t>
      </w:r>
    </w:p>
    <w:p>
      <w:pPr>
        <w:spacing w:after="120" w:before="40"/>
      </w:pPr>
      <w:r>
        <w:rPr>
          <w:rFonts w:ascii="Century Gothic" w:cs="Century Gothic" w:eastAsia="Century Gothic" w:hAnsi="Century Gothic"/>
          <w:b w:val="false"/>
          <w:bCs w:val="false"/>
          <w:i/>
          <w:iCs/>
          <w:color w:val="7A7468"/>
          <w:sz w:val="18"/>
          <w:szCs w:val="18"/>
        </w:rPr>
        <w:t xml:space="preserve">Source: EPA EnviroFacts (epa.gov/enviro)  |  EPA ACRES Brownfields  |  First Street Foundation (firststreet.org)  |  FEMA NFHL</w:t>
      </w:r>
    </w:p>
    <w:p>
      <w:r>
        <w:br/>
      </w:r>
    </w:p>
    <w:p>
      <w:pPr>
        <w:spacing w:after="80" w:before="0"/>
      </w:pPr>
    </w:p>
    <w:p>
      <w:pPr>
        <w:pStyle w:val="Heading1"/>
        <w:spacing w:after="0" w:before="0"/>
      </w:pPr>
      <w:r>
        <w:rPr>
          <w:rFonts w:ascii="Century Gothic" w:cs="Century Gothic" w:eastAsia="Century Gothic" w:hAnsi="Century Gothic"/>
          <w:b/>
          <w:bCs/>
          <w:i w:val="false"/>
          <w:iCs w:val="false"/>
          <w:color w:val="EBF2EC"/>
          <w:sz w:val="96"/>
          <w:szCs w:val="96"/>
        </w:rPr>
        <w:t xml:space="preserve">15</w:t>
      </w:r>
    </w:p>
    <w:p>
      <w:pPr>
        <w:pBdr>
          <w:bottom w:val="single" w:color="3E6844" w:sz="8" w:space="4"/>
        </w:pBdr>
        <w:spacing w:after="60" w:before="60"/>
      </w:pPr>
    </w:p>
    <w:p>
      <w:pPr>
        <w:pStyle w:val="Heading1"/>
        <w:spacing w:after="160" w:before="80"/>
      </w:pPr>
      <w:r>
        <w:rPr>
          <w:rFonts w:ascii="Century Gothic" w:cs="Century Gothic" w:eastAsia="Century Gothic" w:hAnsi="Century Gothic"/>
          <w:b/>
          <w:bCs/>
          <w:i w:val="false"/>
          <w:iCs w:val="false"/>
          <w:color w:val="2A2820"/>
          <w:sz w:val="32"/>
          <w:szCs w:val="32"/>
        </w:rPr>
        <w:t xml:space="preserve">LEGAL &amp; TITLE STATUS</w:t>
      </w:r>
    </w:p>
    <w:p>
      <w:pPr>
        <w:spacing w:after="140" w:before="0"/>
        <w:jc w:val="both"/>
      </w:pPr>
      <w:r>
        <w:rPr>
          <w:rFonts w:ascii="Century Gothic" w:cs="Century Gothic" w:eastAsia="Century Gothic" w:hAnsi="Century Gothic"/>
          <w:color w:val="7B3F00"/>
          <w:sz w:val="22"/>
          <w:szCs w:val="22"/>
          <w:highlight w:val="yellow"/>
        </w:rPr>
        <w:t xml:space="preserve">{{ legal_status_narrative }}</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15.1  Title Search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3240"/>
        <w:gridCol w:w="2880"/>
      </w:tblGrid>
      <w:tr>
        <w:tc>
          <w:tcPr>
            <w:tcW w:type="dxa" w:w="180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Item</w:t>
            </w:r>
          </w:p>
        </w:tc>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Status</w:t>
            </w:r>
          </w:p>
        </w:tc>
        <w:tc>
          <w:tcPr>
            <w:tcW w:type="dxa" w:w="32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Detail</w:t>
            </w:r>
          </w:p>
        </w:tc>
        <w:tc>
          <w:tcPr>
            <w:tcW w:type="dxa" w:w="28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Action Required</w:t>
            </w:r>
          </w:p>
        </w:tc>
      </w:tr>
      <w:tr>
        <w:tc>
          <w:tcPr>
            <w:tcW w:type="dxa" w:w="180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title_search_table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32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8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Title search findings — clear title, exceptions, commitments</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15.2  Outstanding Violations &amp; Permits</w:t>
      </w:r>
    </w:p>
    <w:p>
      <w:pPr>
        <w:spacing w:after="140" w:before="0"/>
        <w:jc w:val="both"/>
      </w:pPr>
      <w:r>
        <w:rPr>
          <w:rFonts w:ascii="Century Gothic" w:cs="Century Gothic" w:eastAsia="Century Gothic" w:hAnsi="Century Gothic"/>
          <w:color w:val="7B3F00"/>
          <w:sz w:val="22"/>
          <w:szCs w:val="22"/>
          <w:highlight w:val="yellow"/>
        </w:rPr>
        <w:t xml:space="preserve">{{ violations_narrative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2880"/>
        <w:gridCol w:w="1080"/>
        <w:gridCol w:w="2880"/>
      </w:tblGrid>
      <w:tr>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Type</w:t>
            </w:r>
          </w:p>
        </w:tc>
        <w:tc>
          <w:tcPr>
            <w:tcW w:type="dxa" w:w="1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Date Issued</w:t>
            </w:r>
          </w:p>
        </w:tc>
        <w:tc>
          <w:tcPr>
            <w:tcW w:type="dxa" w:w="28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Description</w:t>
            </w:r>
          </w:p>
        </w:tc>
        <w:tc>
          <w:tcPr>
            <w:tcW w:type="dxa" w:w="1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Status</w:t>
            </w:r>
          </w:p>
        </w:tc>
        <w:tc>
          <w:tcPr>
            <w:tcW w:type="dxa" w:w="28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Resolution</w:t>
            </w:r>
          </w:p>
        </w:tc>
      </w:tr>
      <w:tr>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violations_table }}</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8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8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Open L&amp;I violations, stop-work orders, outstanding permit approvals</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15.3  Zoning &amp; Regulatory Approvals Required</w:t>
      </w:r>
    </w:p>
    <w:p>
      <w:pPr>
        <w:spacing w:after="140" w:before="0"/>
        <w:jc w:val="both"/>
      </w:pPr>
      <w:r>
        <w:rPr>
          <w:rFonts w:ascii="Century Gothic" w:cs="Century Gothic" w:eastAsia="Century Gothic" w:hAnsi="Century Gothic"/>
          <w:color w:val="7B3F00"/>
          <w:sz w:val="22"/>
          <w:szCs w:val="22"/>
          <w:highlight w:val="yellow"/>
        </w:rPr>
        <w:t xml:space="preserve">{{ regulatory_approvals_narrative }}</w:t>
      </w:r>
    </w:p>
    <w:p>
      <w:pPr>
        <w:spacing w:after="120" w:before="40"/>
      </w:pPr>
      <w:r>
        <w:rPr>
          <w:rFonts w:ascii="Century Gothic" w:cs="Century Gothic" w:eastAsia="Century Gothic" w:hAnsi="Century Gothic"/>
          <w:b w:val="false"/>
          <w:bCs w:val="false"/>
          <w:i/>
          <w:iCs/>
          <w:color w:val="7A7468"/>
          <w:sz w:val="18"/>
          <w:szCs w:val="18"/>
        </w:rPr>
        <w:t xml:space="preserve">Source: Philadelphia Recorder of Deeds (philadox.phila.gov)  |  L&amp;I (li.phila.gov)  |  Title insurance commitment</w:t>
      </w:r>
    </w:p>
    <w:p>
      <w:r>
        <w:br/>
      </w:r>
    </w:p>
    <w:p>
      <w:pPr>
        <w:spacing w:after="80" w:before="0"/>
      </w:pPr>
    </w:p>
    <w:p>
      <w:pPr>
        <w:pStyle w:val="Heading1"/>
        <w:spacing w:after="0" w:before="0"/>
      </w:pPr>
      <w:r>
        <w:rPr>
          <w:rFonts w:ascii="Century Gothic" w:cs="Century Gothic" w:eastAsia="Century Gothic" w:hAnsi="Century Gothic"/>
          <w:b/>
          <w:bCs/>
          <w:i w:val="false"/>
          <w:iCs w:val="false"/>
          <w:color w:val="EBF2EC"/>
          <w:sz w:val="96"/>
          <w:szCs w:val="96"/>
        </w:rPr>
        <w:t xml:space="preserve">16</w:t>
      </w:r>
    </w:p>
    <w:p>
      <w:pPr>
        <w:pBdr>
          <w:bottom w:val="single" w:color="3E6844" w:sz="8" w:space="4"/>
        </w:pBdr>
        <w:spacing w:after="60" w:before="60"/>
      </w:pPr>
    </w:p>
    <w:p>
      <w:pPr>
        <w:pStyle w:val="Heading1"/>
        <w:spacing w:after="160" w:before="80"/>
      </w:pPr>
      <w:r>
        <w:rPr>
          <w:rFonts w:ascii="Century Gothic" w:cs="Century Gothic" w:eastAsia="Century Gothic" w:hAnsi="Century Gothic"/>
          <w:b/>
          <w:bCs/>
          <w:i w:val="false"/>
          <w:iCs w:val="false"/>
          <w:color w:val="2A2820"/>
          <w:sz w:val="32"/>
          <w:szCs w:val="32"/>
        </w:rPr>
        <w:t xml:space="preserve">DUE DILIGENCE FLAGS &amp; RISK ASSESSMENT</w:t>
      </w:r>
    </w:p>
    <w:p>
      <w:pPr>
        <w:spacing w:after="140" w:before="0"/>
        <w:jc w:val="both"/>
      </w:pPr>
      <w:r>
        <w:rPr>
          <w:rFonts w:ascii="Century Gothic" w:cs="Century Gothic" w:eastAsia="Century Gothic" w:hAnsi="Century Gothic"/>
          <w:color w:val="7B3F00"/>
          <w:sz w:val="22"/>
          <w:szCs w:val="22"/>
          <w:highlight w:val="yellow"/>
        </w:rPr>
        <w:t xml:space="preserve">{{ due_diligence_overview }}</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16.1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EBF2EC"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2A4A2E"/>
                <w:sz w:val="20"/>
                <w:szCs w:val="20"/>
              </w:rPr>
              <w:t xml:space="preserve">{{ risk_matrix_chart }}</w:t>
            </w:r>
          </w:p>
          <w:p>
            <w:pPr>
              <w:spacing w:after="0" w:before="0"/>
              <w:jc w:val="center"/>
            </w:pPr>
            <w:r>
              <w:rPr>
                <w:rFonts w:ascii="Century Gothic" w:cs="Century Gothic" w:eastAsia="Century Gothic" w:hAnsi="Century Gothic"/>
                <w:b w:val="false"/>
                <w:bCs w:val="false"/>
                <w:i/>
                <w:iCs/>
                <w:color w:val="7A7468"/>
                <w:sz w:val="18"/>
                <w:szCs w:val="18"/>
              </w:rPr>
              <w:t xml:space="preserve">Risk Matrix — 4×4 Likelihood × Impact scatter plot with numbered Risk Register + category color legend</w:t>
            </w:r>
          </w:p>
        </w:tc>
      </w:tr>
    </w:tbl>
    <w:p>
      <w:pPr>
        <w:spacing w:after="80" w:before="60"/>
        <w:jc w:val="center"/>
      </w:pPr>
      <w:r>
        <w:rPr>
          <w:rFonts w:ascii="Century Gothic" w:cs="Century Gothic" w:eastAsia="Century Gothic" w:hAnsi="Century Gothic"/>
          <w:b w:val="false"/>
          <w:bCs w:val="false"/>
          <w:i/>
          <w:iCs/>
          <w:color w:val="7A7468"/>
          <w:sz w:val="18"/>
          <w:szCs w:val="18"/>
        </w:rPr>
        <w:t xml:space="preserve">Figure 16.1 — Risk Matrix  |  Source: DealDesk qualitative risk assessment  |  </w:t>
      </w:r>
      <w:r>
        <w:rPr>
          <w:rFonts w:ascii="Century Gothic" w:cs="Century Gothic" w:eastAsia="Century Gothic" w:hAnsi="Century Gothic"/>
          <w:color w:val="7B3F00"/>
          <w:sz w:val="22"/>
          <w:szCs w:val="22"/>
          <w:highlight w:val="yellow"/>
        </w:rPr>
        <w:t xml:space="preserve">{{ report_date }}</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16.2  Due Diligence Flag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80"/>
        <w:gridCol w:w="1380"/>
        <w:gridCol w:w="4000"/>
      </w:tblGrid>
      <w:tr>
        <w:tc>
          <w:tcPr>
            <w:tcW w:type="dxa" w:w="110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80"/>
            </w:tcMar>
          </w:tcPr>
          <w:p>
            <w:r>
              <w:rPr>
                <w:rFonts w:ascii="Century Gothic" w:cs="Century Gothic" w:eastAsia="Century Gothic" w:hAnsi="Century Gothic"/>
                <w:b/>
                <w:bCs/>
                <w:i w:val="false"/>
                <w:iCs w:val="false"/>
                <w:color w:val="FFFFFF"/>
                <w:sz w:val="18"/>
                <w:szCs w:val="18"/>
              </w:rPr>
              <w:t xml:space="preserve">PRIORITY</w:t>
            </w:r>
          </w:p>
        </w:tc>
        <w:tc>
          <w:tcPr>
            <w:tcW w:type="dxa" w:w="28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80"/>
            </w:tcMar>
          </w:tcPr>
          <w:p>
            <w:r>
              <w:rPr>
                <w:rFonts w:ascii="Century Gothic" w:cs="Century Gothic" w:eastAsia="Century Gothic" w:hAnsi="Century Gothic"/>
                <w:b/>
                <w:bCs/>
                <w:i w:val="false"/>
                <w:iCs w:val="false"/>
                <w:color w:val="FFFFFF"/>
                <w:sz w:val="18"/>
                <w:szCs w:val="18"/>
              </w:rPr>
              <w:t xml:space="preserve">FLAG</w:t>
            </w:r>
          </w:p>
        </w:tc>
        <w:tc>
          <w:tcPr>
            <w:tcW w:type="dxa" w:w="13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80"/>
            </w:tcMar>
          </w:tcPr>
          <w:p>
            <w:r>
              <w:rPr>
                <w:rFonts w:ascii="Century Gothic" w:cs="Century Gothic" w:eastAsia="Century Gothic" w:hAnsi="Century Gothic"/>
                <w:b/>
                <w:bCs/>
                <w:i w:val="false"/>
                <w:iCs w:val="false"/>
                <w:color w:val="FFFFFF"/>
                <w:sz w:val="18"/>
                <w:szCs w:val="18"/>
              </w:rPr>
              <w:t xml:space="preserve">CATEGORY</w:t>
            </w:r>
          </w:p>
        </w:tc>
        <w:tc>
          <w:tcPr>
            <w:tcW w:type="dxa" w:w="400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80"/>
            </w:tcMar>
          </w:tcPr>
          <w:p>
            <w:r>
              <w:rPr>
                <w:rFonts w:ascii="Century Gothic" w:cs="Century Gothic" w:eastAsia="Century Gothic" w:hAnsi="Century Gothic"/>
                <w:b/>
                <w:bCs/>
                <w:i w:val="false"/>
                <w:iCs w:val="false"/>
                <w:color w:val="FFFFFF"/>
                <w:sz w:val="18"/>
                <w:szCs w:val="18"/>
              </w:rPr>
              <w:t xml:space="preserve">RECOMMENDED ACTION</w:t>
            </w:r>
          </w:p>
        </w:tc>
      </w:tr>
      <w:tr>
        <w:tc>
          <w:tcPr>
            <w:tcW w:type="dxa" w:w="1100"/>
            <w:tcBorders>
              <w:top w:val="single" w:color="D8D4CC" w:sz="2"/>
              <w:left w:val="single" w:color="D8D4CC" w:sz="2"/>
              <w:bottom w:val="single" w:color="D8D4CC" w:sz="2"/>
              <w:right w:val="single" w:color="D8D4CC" w:sz="2"/>
            </w:tcBorders>
            <w:shd w:fill="FCEAEA" w:val="clear"/>
            <w:tcMar>
              <w:top w:type="dxa" w:w="80"/>
              <w:left w:type="dxa" w:w="100"/>
              <w:bottom w:type="dxa" w:w="80"/>
              <w:right w:type="dxa" w:w="80"/>
            </w:tcMar>
          </w:tcPr>
          <w:p>
            <w:r>
              <w:rPr>
                <w:rFonts w:ascii="Century Gothic" w:cs="Century Gothic" w:eastAsia="Century Gothic" w:hAnsi="Century Gothic"/>
                <w:b/>
                <w:bCs/>
                <w:i w:val="false"/>
                <w:iCs w:val="false"/>
                <w:color w:val="C0392B"/>
                <w:sz w:val="18"/>
                <w:szCs w:val="18"/>
              </w:rPr>
              <w:t xml:space="preserve">🔴  RED</w:t>
            </w:r>
          </w:p>
        </w:tc>
        <w:tc>
          <w:tcPr>
            <w:tcW w:type="dxa" w:w="288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c>
          <w:tcPr>
            <w:tcW w:type="dxa" w:w="138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c>
          <w:tcPr>
            <w:tcW w:type="dxa" w:w="364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1100"/>
            <w:tcBorders>
              <w:top w:val="single" w:color="D8D4CC" w:sz="2"/>
              <w:left w:val="single" w:color="D8D4CC" w:sz="2"/>
              <w:bottom w:val="single" w:color="D8D4CC" w:sz="2"/>
              <w:right w:val="single" w:color="D8D4CC" w:sz="2"/>
            </w:tcBorders>
            <w:shd w:fill="FCEAEA" w:val="clear"/>
            <w:tcMar>
              <w:top w:type="dxa" w:w="80"/>
              <w:left w:type="dxa" w:w="100"/>
              <w:bottom w:type="dxa" w:w="80"/>
              <w:right w:type="dxa" w:w="80"/>
            </w:tcMar>
          </w:tcPr>
          <w:p>
            <w:r>
              <w:rPr>
                <w:rFonts w:ascii="Century Gothic" w:cs="Century Gothic" w:eastAsia="Century Gothic" w:hAnsi="Century Gothic"/>
                <w:b/>
                <w:bCs/>
                <w:i w:val="false"/>
                <w:iCs w:val="false"/>
                <w:color w:val="C0392B"/>
                <w:sz w:val="18"/>
                <w:szCs w:val="18"/>
              </w:rPr>
              <w:t xml:space="preserve">🔴  RED</w:t>
            </w:r>
          </w:p>
        </w:tc>
        <w:tc>
          <w:tcPr>
            <w:tcW w:type="dxa" w:w="288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c>
          <w:tcPr>
            <w:tcW w:type="dxa" w:w="138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c>
          <w:tcPr>
            <w:tcW w:type="dxa" w:w="364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1100"/>
            <w:tcBorders>
              <w:top w:val="single" w:color="D8D4CC" w:sz="2"/>
              <w:left w:val="single" w:color="D8D4CC" w:sz="2"/>
              <w:bottom w:val="single" w:color="D8D4CC" w:sz="2"/>
              <w:right w:val="single" w:color="D8D4CC" w:sz="2"/>
            </w:tcBorders>
            <w:shd w:fill="FCEAEA" w:val="clear"/>
            <w:tcMar>
              <w:top w:type="dxa" w:w="80"/>
              <w:left w:type="dxa" w:w="100"/>
              <w:bottom w:type="dxa" w:w="80"/>
              <w:right w:type="dxa" w:w="80"/>
            </w:tcMar>
          </w:tcPr>
          <w:p>
            <w:r>
              <w:rPr>
                <w:rFonts w:ascii="Century Gothic" w:cs="Century Gothic" w:eastAsia="Century Gothic" w:hAnsi="Century Gothic"/>
                <w:b/>
                <w:bCs/>
                <w:i w:val="false"/>
                <w:iCs w:val="false"/>
                <w:color w:val="C0392B"/>
                <w:sz w:val="18"/>
                <w:szCs w:val="18"/>
              </w:rPr>
              <w:t xml:space="preserve">🔴  RED</w:t>
            </w:r>
          </w:p>
        </w:tc>
        <w:tc>
          <w:tcPr>
            <w:tcW w:type="dxa" w:w="288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c>
          <w:tcPr>
            <w:tcW w:type="dxa" w:w="138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c>
          <w:tcPr>
            <w:tcW w:type="dxa" w:w="364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1100"/>
            <w:tcBorders>
              <w:top w:val="single" w:color="D8D4CC" w:sz="2"/>
              <w:left w:val="single" w:color="D8D4CC" w:sz="2"/>
              <w:bottom w:val="single" w:color="D8D4CC" w:sz="2"/>
              <w:right w:val="single" w:color="D8D4CC" w:sz="2"/>
            </w:tcBorders>
            <w:shd w:fill="FEF3E2" w:val="clear"/>
            <w:tcMar>
              <w:top w:type="dxa" w:w="80"/>
              <w:left w:type="dxa" w:w="100"/>
              <w:bottom w:type="dxa" w:w="80"/>
              <w:right w:type="dxa" w:w="80"/>
            </w:tcMar>
          </w:tcPr>
          <w:p>
            <w:r>
              <w:rPr>
                <w:rFonts w:ascii="Century Gothic" w:cs="Century Gothic" w:eastAsia="Century Gothic" w:hAnsi="Century Gothic"/>
                <w:b/>
                <w:bCs/>
                <w:i w:val="false"/>
                <w:iCs w:val="false"/>
                <w:color w:val="D4720A"/>
                <w:sz w:val="18"/>
                <w:szCs w:val="18"/>
              </w:rPr>
              <w:t xml:space="preserve">🟡  YELLOW</w:t>
            </w:r>
          </w:p>
        </w:tc>
        <w:tc>
          <w:tcPr>
            <w:tcW w:type="dxa" w:w="288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c>
          <w:tcPr>
            <w:tcW w:type="dxa" w:w="138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c>
          <w:tcPr>
            <w:tcW w:type="dxa" w:w="364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1100"/>
            <w:tcBorders>
              <w:top w:val="single" w:color="D8D4CC" w:sz="2"/>
              <w:left w:val="single" w:color="D8D4CC" w:sz="2"/>
              <w:bottom w:val="single" w:color="D8D4CC" w:sz="2"/>
              <w:right w:val="single" w:color="D8D4CC" w:sz="2"/>
            </w:tcBorders>
            <w:shd w:fill="FEF3E2" w:val="clear"/>
            <w:tcMar>
              <w:top w:type="dxa" w:w="80"/>
              <w:left w:type="dxa" w:w="100"/>
              <w:bottom w:type="dxa" w:w="80"/>
              <w:right w:type="dxa" w:w="80"/>
            </w:tcMar>
          </w:tcPr>
          <w:p>
            <w:r>
              <w:rPr>
                <w:rFonts w:ascii="Century Gothic" w:cs="Century Gothic" w:eastAsia="Century Gothic" w:hAnsi="Century Gothic"/>
                <w:b/>
                <w:bCs/>
                <w:i w:val="false"/>
                <w:iCs w:val="false"/>
                <w:color w:val="D4720A"/>
                <w:sz w:val="18"/>
                <w:szCs w:val="18"/>
              </w:rPr>
              <w:t xml:space="preserve">🟡  YELLOW</w:t>
            </w:r>
          </w:p>
        </w:tc>
        <w:tc>
          <w:tcPr>
            <w:tcW w:type="dxa" w:w="288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c>
          <w:tcPr>
            <w:tcW w:type="dxa" w:w="138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c>
          <w:tcPr>
            <w:tcW w:type="dxa" w:w="364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1100"/>
            <w:tcBorders>
              <w:top w:val="single" w:color="D8D4CC" w:sz="2"/>
              <w:left w:val="single" w:color="D8D4CC" w:sz="2"/>
              <w:bottom w:val="single" w:color="D8D4CC" w:sz="2"/>
              <w:right w:val="single" w:color="D8D4CC" w:sz="2"/>
            </w:tcBorders>
            <w:shd w:fill="FEF3E2" w:val="clear"/>
            <w:tcMar>
              <w:top w:type="dxa" w:w="80"/>
              <w:left w:type="dxa" w:w="100"/>
              <w:bottom w:type="dxa" w:w="80"/>
              <w:right w:type="dxa" w:w="80"/>
            </w:tcMar>
          </w:tcPr>
          <w:p>
            <w:r>
              <w:rPr>
                <w:rFonts w:ascii="Century Gothic" w:cs="Century Gothic" w:eastAsia="Century Gothic" w:hAnsi="Century Gothic"/>
                <w:b/>
                <w:bCs/>
                <w:i w:val="false"/>
                <w:iCs w:val="false"/>
                <w:color w:val="D4720A"/>
                <w:sz w:val="18"/>
                <w:szCs w:val="18"/>
              </w:rPr>
              <w:t xml:space="preserve">🟡  YELLOW</w:t>
            </w:r>
          </w:p>
        </w:tc>
        <w:tc>
          <w:tcPr>
            <w:tcW w:type="dxa" w:w="288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c>
          <w:tcPr>
            <w:tcW w:type="dxa" w:w="138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c>
          <w:tcPr>
            <w:tcW w:type="dxa" w:w="364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1100"/>
            <w:tcBorders>
              <w:top w:val="single" w:color="D8D4CC" w:sz="2"/>
              <w:left w:val="single" w:color="D8D4CC" w:sz="2"/>
              <w:bottom w:val="single" w:color="D8D4CC" w:sz="2"/>
              <w:right w:val="single" w:color="D8D4CC" w:sz="2"/>
            </w:tcBorders>
            <w:shd w:fill="FEF3E2" w:val="clear"/>
            <w:tcMar>
              <w:top w:type="dxa" w:w="80"/>
              <w:left w:type="dxa" w:w="100"/>
              <w:bottom w:type="dxa" w:w="80"/>
              <w:right w:type="dxa" w:w="80"/>
            </w:tcMar>
          </w:tcPr>
          <w:p>
            <w:r>
              <w:rPr>
                <w:rFonts w:ascii="Century Gothic" w:cs="Century Gothic" w:eastAsia="Century Gothic" w:hAnsi="Century Gothic"/>
                <w:b/>
                <w:bCs/>
                <w:i w:val="false"/>
                <w:iCs w:val="false"/>
                <w:color w:val="D4720A"/>
                <w:sz w:val="18"/>
                <w:szCs w:val="18"/>
              </w:rPr>
              <w:t xml:space="preserve">🟡  YELLOW</w:t>
            </w:r>
          </w:p>
        </w:tc>
        <w:tc>
          <w:tcPr>
            <w:tcW w:type="dxa" w:w="288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c>
          <w:tcPr>
            <w:tcW w:type="dxa" w:w="138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c>
          <w:tcPr>
            <w:tcW w:type="dxa" w:w="364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1100"/>
            <w:tcBorders>
              <w:top w:val="single" w:color="D8D4CC" w:sz="2"/>
              <w:left w:val="single" w:color="D8D4CC" w:sz="2"/>
              <w:bottom w:val="single" w:color="D8D4CC" w:sz="2"/>
              <w:right w:val="single" w:color="D8D4CC" w:sz="2"/>
            </w:tcBorders>
            <w:shd w:fill="E8F5E9" w:val="clear"/>
            <w:tcMar>
              <w:top w:type="dxa" w:w="80"/>
              <w:left w:type="dxa" w:w="100"/>
              <w:bottom w:type="dxa" w:w="80"/>
              <w:right w:type="dxa" w:w="80"/>
            </w:tcMar>
          </w:tcPr>
          <w:p>
            <w:r>
              <w:rPr>
                <w:rFonts w:ascii="Century Gothic" w:cs="Century Gothic" w:eastAsia="Century Gothic" w:hAnsi="Century Gothic"/>
                <w:b/>
                <w:bCs/>
                <w:i w:val="false"/>
                <w:iCs w:val="false"/>
                <w:color w:val="2E7D32"/>
                <w:sz w:val="18"/>
                <w:szCs w:val="18"/>
              </w:rPr>
              <w:t xml:space="preserve">🟢  GREEN</w:t>
            </w:r>
          </w:p>
        </w:tc>
        <w:tc>
          <w:tcPr>
            <w:tcW w:type="dxa" w:w="288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c>
          <w:tcPr>
            <w:tcW w:type="dxa" w:w="138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c>
          <w:tcPr>
            <w:tcW w:type="dxa" w:w="364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1100"/>
            <w:tcBorders>
              <w:top w:val="single" w:color="D8D4CC" w:sz="2"/>
              <w:left w:val="single" w:color="D8D4CC" w:sz="2"/>
              <w:bottom w:val="single" w:color="D8D4CC" w:sz="2"/>
              <w:right w:val="single" w:color="D8D4CC" w:sz="2"/>
            </w:tcBorders>
            <w:shd w:fill="E8F5E9" w:val="clear"/>
            <w:tcMar>
              <w:top w:type="dxa" w:w="80"/>
              <w:left w:type="dxa" w:w="100"/>
              <w:bottom w:type="dxa" w:w="80"/>
              <w:right w:type="dxa" w:w="80"/>
            </w:tcMar>
          </w:tcPr>
          <w:p>
            <w:r>
              <w:rPr>
                <w:rFonts w:ascii="Century Gothic" w:cs="Century Gothic" w:eastAsia="Century Gothic" w:hAnsi="Century Gothic"/>
                <w:b/>
                <w:bCs/>
                <w:i w:val="false"/>
                <w:iCs w:val="false"/>
                <w:color w:val="2E7D32"/>
                <w:sz w:val="18"/>
                <w:szCs w:val="18"/>
              </w:rPr>
              <w:t xml:space="preserve">🟢  GREEN</w:t>
            </w:r>
          </w:p>
        </w:tc>
        <w:tc>
          <w:tcPr>
            <w:tcW w:type="dxa" w:w="288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c>
          <w:tcPr>
            <w:tcW w:type="dxa" w:w="138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c>
          <w:tcPr>
            <w:tcW w:type="dxa" w:w="364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1100"/>
            <w:tcBorders>
              <w:top w:val="single" w:color="D8D4CC" w:sz="2"/>
              <w:left w:val="single" w:color="D8D4CC" w:sz="2"/>
              <w:bottom w:val="single" w:color="D8D4CC" w:sz="2"/>
              <w:right w:val="single" w:color="D8D4CC" w:sz="2"/>
            </w:tcBorders>
            <w:shd w:fill="E8F5E9" w:val="clear"/>
            <w:tcMar>
              <w:top w:type="dxa" w:w="80"/>
              <w:left w:type="dxa" w:w="100"/>
              <w:bottom w:type="dxa" w:w="80"/>
              <w:right w:type="dxa" w:w="80"/>
            </w:tcMar>
          </w:tcPr>
          <w:p>
            <w:r>
              <w:rPr>
                <w:rFonts w:ascii="Century Gothic" w:cs="Century Gothic" w:eastAsia="Century Gothic" w:hAnsi="Century Gothic"/>
                <w:b/>
                <w:bCs/>
                <w:i w:val="false"/>
                <w:iCs w:val="false"/>
                <w:color w:val="2E7D32"/>
                <w:sz w:val="18"/>
                <w:szCs w:val="18"/>
              </w:rPr>
              <w:t xml:space="preserve">🟢  GREEN</w:t>
            </w:r>
          </w:p>
        </w:tc>
        <w:tc>
          <w:tcPr>
            <w:tcW w:type="dxa" w:w="288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c>
          <w:tcPr>
            <w:tcW w:type="dxa" w:w="138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c>
          <w:tcPr>
            <w:tcW w:type="dxa" w:w="364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1100"/>
            <w:tcBorders>
              <w:top w:val="single" w:color="D8D4CC" w:sz="2"/>
              <w:left w:val="single" w:color="D8D4CC" w:sz="2"/>
              <w:bottom w:val="single" w:color="D8D4CC" w:sz="2"/>
              <w:right w:val="single" w:color="D8D4CC" w:sz="2"/>
            </w:tcBorders>
            <w:shd w:fill="E8F5E9" w:val="clear"/>
            <w:tcMar>
              <w:top w:type="dxa" w:w="80"/>
              <w:left w:type="dxa" w:w="100"/>
              <w:bottom w:type="dxa" w:w="80"/>
              <w:right w:type="dxa" w:w="80"/>
            </w:tcMar>
          </w:tcPr>
          <w:p>
            <w:r>
              <w:rPr>
                <w:rFonts w:ascii="Century Gothic" w:cs="Century Gothic" w:eastAsia="Century Gothic" w:hAnsi="Century Gothic"/>
                <w:b/>
                <w:bCs/>
                <w:i w:val="false"/>
                <w:iCs w:val="false"/>
                <w:color w:val="2E7D32"/>
                <w:sz w:val="18"/>
                <w:szCs w:val="18"/>
              </w:rPr>
              <w:t xml:space="preserve">🟢  GREEN</w:t>
            </w:r>
          </w:p>
        </w:tc>
        <w:tc>
          <w:tcPr>
            <w:tcW w:type="dxa" w:w="288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c>
          <w:tcPr>
            <w:tcW w:type="dxa" w:w="138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c>
          <w:tcPr>
            <w:tcW w:type="dxa" w:w="364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1100"/>
            <w:tcBorders>
              <w:top w:val="single" w:color="D8D4CC" w:sz="2"/>
              <w:left w:val="single" w:color="D8D4CC" w:sz="2"/>
              <w:bottom w:val="single" w:color="D8D4CC" w:sz="2"/>
              <w:right w:val="single" w:color="D8D4CC" w:sz="2"/>
            </w:tcBorders>
            <w:shd w:fill="E8F5E9" w:val="clear"/>
            <w:tcMar>
              <w:top w:type="dxa" w:w="80"/>
              <w:left w:type="dxa" w:w="100"/>
              <w:bottom w:type="dxa" w:w="80"/>
              <w:right w:type="dxa" w:w="80"/>
            </w:tcMar>
          </w:tcPr>
          <w:p>
            <w:r>
              <w:rPr>
                <w:rFonts w:ascii="Century Gothic" w:cs="Century Gothic" w:eastAsia="Century Gothic" w:hAnsi="Century Gothic"/>
                <w:b/>
                <w:bCs/>
                <w:i w:val="false"/>
                <w:iCs w:val="false"/>
                <w:color w:val="2E7D32"/>
                <w:sz w:val="18"/>
                <w:szCs w:val="18"/>
              </w:rPr>
              <w:t xml:space="preserve">🟢  GREEN</w:t>
            </w:r>
          </w:p>
        </w:tc>
        <w:tc>
          <w:tcPr>
            <w:tcW w:type="dxa" w:w="288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c>
          <w:tcPr>
            <w:tcW w:type="dxa" w:w="138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c>
          <w:tcPr>
            <w:tcW w:type="dxa" w:w="3640"/>
            <w:tcBorders>
              <w:top w:val="single" w:color="D8D4CC" w:sz="2"/>
              <w:left w:val="single" w:color="D8D4CC" w:sz="2"/>
              <w:bottom w:val="single" w:color="D8D4CC" w:sz="2"/>
              <w:right w:val="single" w:color="D8D4CC" w:sz="2"/>
            </w:tcBorders>
            <w:shd w:fill="F2F4EC"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16.3  Insurance Analysis</w:t>
      </w:r>
    </w:p>
    <w:p>
      <w:pPr>
        <w:spacing w:after="80" w:before="0"/>
      </w:pPr>
      <w:r>
        <w:rPr>
          <w:rFonts w:ascii="Century Gothic" w:cs="Century Gothic" w:eastAsia="Century Gothic" w:hAnsi="Century Gothic"/>
          <w:b w:val="false"/>
          <w:bCs w:val="false"/>
          <w:i/>
          <w:iCs/>
          <w:color w:val="7A7468"/>
          <w:sz w:val="20"/>
          <w:szCs w:val="20"/>
        </w:rPr>
        <w:t xml:space="preserve">Coverage Assessment  ·  Cost Benchmarks  ·  Risk Flags</w:t>
      </w:r>
    </w:p>
    <w:p>
      <w:pPr>
        <w:spacing w:after="140" w:before="0"/>
        <w:jc w:val="both"/>
      </w:pPr>
      <w:r>
        <w:rPr>
          <w:rFonts w:ascii="Century Gothic" w:cs="Century Gothic" w:eastAsia="Century Gothic" w:hAnsi="Century Gothic"/>
          <w:color w:val="7B3F00"/>
          <w:sz w:val="22"/>
          <w:szCs w:val="22"/>
          <w:highlight w:val="yellow"/>
        </w:rPr>
        <w:t xml:space="preserve">{{ insurance_narrative_p1 }}</w:t>
      </w:r>
    </w:p>
    <w:p>
      <w:pPr>
        <w:spacing w:after="140" w:before="0"/>
        <w:jc w:val="both"/>
      </w:pPr>
      <w:r>
        <w:rPr>
          <w:rFonts w:ascii="Century Gothic" w:cs="Century Gothic" w:eastAsia="Century Gothic" w:hAnsi="Century Gothic"/>
          <w:color w:val="7B3F00"/>
          <w:sz w:val="22"/>
          <w:szCs w:val="22"/>
          <w:highlight w:val="yellow"/>
        </w:rPr>
        <w:t xml:space="preserve">{{ insurance_narrative_p2 }}</w:t>
      </w:r>
    </w:p>
    <w:p>
      <w:pPr>
        <w:spacing w:after="140" w:before="0"/>
        <w:jc w:val="both"/>
      </w:pPr>
      <w:r>
        <w:rPr>
          <w:rFonts w:ascii="Century Gothic" w:cs="Century Gothic" w:eastAsia="Century Gothic" w:hAnsi="Century Gothic"/>
          <w:color w:val="7B3F00"/>
          <w:sz w:val="22"/>
          <w:szCs w:val="22"/>
          <w:highlight w:val="yellow"/>
        </w:rPr>
        <w:t xml:space="preserve">{{ insurance_narrative_p3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EBF2EC"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2A4A2E"/>
                <w:sz w:val="20"/>
                <w:szCs w:val="20"/>
              </w:rPr>
              <w:t xml:space="preserve">{{ insurance_kpi_strip }}</w:t>
            </w:r>
          </w:p>
          <w:p>
            <w:pPr>
              <w:spacing w:after="0" w:before="0"/>
              <w:jc w:val="center"/>
            </w:pPr>
            <w:r>
              <w:rPr>
                <w:rFonts w:ascii="Century Gothic" w:cs="Century Gothic" w:eastAsia="Century Gothic" w:hAnsi="Century Gothic"/>
                <w:b w:val="false"/>
                <w:bCs w:val="false"/>
                <w:i/>
                <w:iCs/>
                <w:color w:val="7A7468"/>
                <w:sz w:val="18"/>
                <w:szCs w:val="18"/>
              </w:rPr>
              <w:t xml:space="preserve">Insurance KPI Strip — 4 cards: Total Annual Cost, Per-Unit, Per-SF, Pro Forma Line Item</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900"/>
        <w:gridCol w:w="1080"/>
        <w:gridCol w:w="1080"/>
        <w:gridCol w:w="1080"/>
        <w:gridCol w:w="3060"/>
      </w:tblGrid>
      <w:tr>
        <w:tc>
          <w:tcPr>
            <w:tcW w:type="dxa" w:w="21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Coverage</w:t>
            </w:r>
          </w:p>
        </w:tc>
        <w:tc>
          <w:tcPr>
            <w:tcW w:type="dxa" w:w="90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Type</w:t>
            </w:r>
          </w:p>
        </w:tc>
        <w:tc>
          <w:tcPr>
            <w:tcW w:type="dxa" w:w="1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Annual Low</w:t>
            </w:r>
          </w:p>
        </w:tc>
        <w:tc>
          <w:tcPr>
            <w:tcW w:type="dxa" w:w="1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Annual High</w:t>
            </w:r>
          </w:p>
        </w:tc>
        <w:tc>
          <w:tcPr>
            <w:tcW w:type="dxa" w:w="1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Pro Forma</w:t>
            </w:r>
          </w:p>
        </w:tc>
        <w:tc>
          <w:tcPr>
            <w:tcW w:type="dxa" w:w="30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Notes</w:t>
            </w:r>
          </w:p>
        </w:tc>
      </w:tr>
      <w:tr>
        <w:tc>
          <w:tcPr>
            <w:tcW w:type="dxa" w:w="21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insurance_summary_table }}</w:t>
            </w:r>
          </w:p>
        </w:tc>
        <w:tc>
          <w:tcPr>
            <w:tcW w:type="dxa" w:w="90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30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Insurance cost rollup — all coverage categories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Borders>
              <w:top w:val="none" w:color="FFFFFF" w:sz="0"/>
              <w:left w:val="single" w:color="3E6844" w:sz="20"/>
              <w:bottom w:val="none" w:color="FFFFFF" w:sz="0"/>
              <w:right w:val="none" w:color="FFFFFF" w:sz="0"/>
            </w:tcBorders>
            <w:shd w:fill="EBF2EC" w:val="clear"/>
            <w:tcMar>
              <w:top w:type="dxa" w:w="100"/>
              <w:left w:type="dxa" w:w="200"/>
              <w:bottom w:type="dxa" w:w="100"/>
              <w:right w:type="dxa" w:w="120"/>
            </w:tcMar>
          </w:tcPr>
          <w:p>
            <w:r>
              <w:rPr>
                <w:rFonts w:ascii="Century Gothic" w:cs="Century Gothic" w:eastAsia="Century Gothic" w:hAnsi="Century Gothic"/>
                <w:b w:val="false"/>
                <w:bCs w:val="false"/>
                <w:i w:val="false"/>
                <w:iCs w:val="false"/>
                <w:color w:val="2A2820"/>
                <w:sz w:val="20"/>
                <w:szCs w:val="20"/>
              </w:rPr>
              <w:t xml:space="preserve">Recommended Pro Forma Insurance Line Item (recurring, stabilized):</w:t>
            </w:r>
          </w:p>
        </w:tc>
        <w:tc>
          <w:tcPr>
            <w:tcBorders>
              <w:top w:val="none" w:color="FFFFFF" w:sz="0"/>
              <w:left w:val="none" w:color="FFFFFF" w:sz="0"/>
              <w:bottom w:val="none" w:color="FFFFFF" w:sz="0"/>
              <w:right w:val="single" w:color="3E6844" w:sz="8"/>
            </w:tcBorders>
            <w:shd w:fill="EBF2EC" w:val="clear"/>
            <w:tcMar>
              <w:top w:type="dxa" w:w="100"/>
              <w:left w:type="dxa" w:w="120"/>
              <w:bottom w:type="dxa" w:w="100"/>
              <w:right w:type="dxa" w:w="120"/>
            </w:tcMar>
          </w:tcPr>
          <w:p>
            <w:pPr>
              <w:jc w:val="right"/>
            </w:pPr>
            <w:r>
              <w:rPr>
                <w:rFonts w:ascii="Century Gothic" w:cs="Century Gothic" w:eastAsia="Century Gothic" w:hAnsi="Century Gothic"/>
                <w:color w:val="7B3F00"/>
                <w:sz w:val="22"/>
                <w:szCs w:val="22"/>
                <w:highlight w:val="yellow"/>
              </w:rPr>
              <w:t xml:space="preserve">{{ insurance_proforma_line_item }}</w:t>
            </w:r>
          </w:p>
        </w:tc>
      </w:tr>
    </w:tbl>
    <w:p>
      <w:pPr>
        <w:spacing w:after="120" w:before="40"/>
      </w:pPr>
      <w:r>
        <w:rPr>
          <w:rFonts w:ascii="Century Gothic" w:cs="Century Gothic" w:eastAsia="Century Gothic" w:hAnsi="Century Gothic"/>
          <w:b w:val="false"/>
          <w:bCs w:val="false"/>
          <w:i/>
          <w:iCs/>
          <w:color w:val="7A7468"/>
          <w:sz w:val="18"/>
          <w:szCs w:val="18"/>
        </w:rPr>
        <w:t xml:space="preserve">Source: DealDesk due diligence analysis  |  RS Means 2025  |  Marshall &amp; Swift  |  ISO commercial lines  |  Ironshore / AIG  |  {{ report_date }}</w:t>
      </w:r>
    </w:p>
    <w:p>
      <w:r>
        <w:br/>
      </w:r>
    </w:p>
    <w:p>
      <w:pPr>
        <w:spacing w:after="80" w:before="0"/>
      </w:pPr>
    </w:p>
    <w:p>
      <w:pPr>
        <w:pStyle w:val="Heading1"/>
        <w:spacing w:after="0" w:before="0"/>
      </w:pPr>
      <w:r>
        <w:rPr>
          <w:rFonts w:ascii="Century Gothic" w:cs="Century Gothic" w:eastAsia="Century Gothic" w:hAnsi="Century Gothic"/>
          <w:b/>
          <w:bCs/>
          <w:i w:val="false"/>
          <w:iCs w:val="false"/>
          <w:color w:val="EBF2EC"/>
          <w:sz w:val="96"/>
          <w:szCs w:val="96"/>
        </w:rPr>
        <w:t xml:space="preserve">17</w:t>
      </w:r>
    </w:p>
    <w:p>
      <w:pPr>
        <w:pBdr>
          <w:bottom w:val="single" w:color="3E6844" w:sz="8" w:space="4"/>
        </w:pBdr>
        <w:spacing w:after="60" w:before="60"/>
      </w:pPr>
    </w:p>
    <w:p>
      <w:pPr>
        <w:pStyle w:val="Heading1"/>
        <w:spacing w:after="160" w:before="80"/>
      </w:pPr>
      <w:r>
        <w:rPr>
          <w:rFonts w:ascii="Century Gothic" w:cs="Century Gothic" w:eastAsia="Century Gothic" w:hAnsi="Century Gothic"/>
          <w:b/>
          <w:bCs/>
          <w:i w:val="false"/>
          <w:iCs w:val="false"/>
          <w:color w:val="2A2820"/>
          <w:sz w:val="32"/>
          <w:szCs w:val="32"/>
        </w:rPr>
        <w:t xml:space="preserve">DUE DILIGENCE CHECKLIST &amp; STATUS TRACKER</w:t>
      </w:r>
    </w:p>
    <w:p>
      <w:pPr>
        <w:spacing w:after="140" w:before="0"/>
        <w:jc w:val="both"/>
      </w:pPr>
      <w:r>
        <w:rPr>
          <w:rFonts w:ascii="Century Gothic" w:cs="Century Gothic" w:eastAsia="Century Gothic" w:hAnsi="Century Gothic"/>
          <w:color w:val="7B3F00"/>
          <w:sz w:val="22"/>
          <w:szCs w:val="22"/>
          <w:highlight w:val="yellow"/>
        </w:rPr>
        <w:t xml:space="preserve">{{ dd_checklist_intro }}</w:t>
      </w:r>
    </w:p>
    <w:p>
      <w:pPr>
        <w:spacing w:after="80" w:before="0"/>
      </w:pPr>
    </w:p>
    <w:p>
      <w:pPr>
        <w:pStyle w:val="Heading3"/>
        <w:spacing w:after="60" w:before="160"/>
      </w:pPr>
      <w:r>
        <w:rPr>
          <w:rFonts w:ascii="Century Gothic" w:cs="Century Gothic" w:eastAsia="Century Gothic" w:hAnsi="Century Gothic"/>
          <w:b/>
          <w:bCs/>
          <w:i w:val="false"/>
          <w:iCs w:val="false"/>
          <w:color w:val="2A2820"/>
          <w:sz w:val="22"/>
          <w:szCs w:val="22"/>
        </w:rPr>
        <w:t xml:space="preserve">Physical &amp;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080"/>
        <w:gridCol w:w="1440"/>
        <w:gridCol w:w="2080"/>
      </w:tblGrid>
      <w:tr>
        <w:tc>
          <w:tcPr>
            <w:tcW w:type="dxa" w:w="57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ITEM</w:t>
            </w:r>
          </w:p>
        </w:tc>
        <w:tc>
          <w:tcPr>
            <w:tcW w:type="dxa" w:w="1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STATUS</w:t>
            </w:r>
          </w:p>
        </w:tc>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DUE DATE</w:t>
            </w:r>
          </w:p>
        </w:tc>
        <w:tc>
          <w:tcPr>
            <w:tcW w:type="dxa" w:w="2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ASSIGNED TO / NOTES</w:t>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Phase I Environmental Site Assessment</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Property Condition Assessment (PCA)</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ALTA/NSPS Land Title Survey</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Structural Engineering Report</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Roof Inspection</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MEP Systems Evaluation</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ADA Compliance Review</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Pest / Termite Inspection</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80" w:before="0"/>
      </w:pPr>
    </w:p>
    <w:p>
      <w:pPr>
        <w:pStyle w:val="Heading3"/>
        <w:spacing w:after="60" w:before="160"/>
      </w:pPr>
      <w:r>
        <w:rPr>
          <w:rFonts w:ascii="Century Gothic" w:cs="Century Gothic" w:eastAsia="Century Gothic" w:hAnsi="Century Gothic"/>
          <w:b/>
          <w:bCs/>
          <w:i w:val="false"/>
          <w:iCs w:val="false"/>
          <w:color w:val="2A2820"/>
          <w:sz w:val="22"/>
          <w:szCs w:val="22"/>
        </w:rPr>
        <w:t xml:space="preserve">Legal &amp;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080"/>
        <w:gridCol w:w="1440"/>
        <w:gridCol w:w="2080"/>
      </w:tblGrid>
      <w:tr>
        <w:tc>
          <w:tcPr>
            <w:tcW w:type="dxa" w:w="57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ITEM</w:t>
            </w:r>
          </w:p>
        </w:tc>
        <w:tc>
          <w:tcPr>
            <w:tcW w:type="dxa" w:w="1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STATUS</w:t>
            </w:r>
          </w:p>
        </w:tc>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DUE DATE</w:t>
            </w:r>
          </w:p>
        </w:tc>
        <w:tc>
          <w:tcPr>
            <w:tcW w:type="dxa" w:w="2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ASSIGNED TO / NOTES</w:t>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Title commitment / preliminary report</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UCC lien searches</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Corporate entity verification (owner)</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Existing lease review</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HOA / CC&amp;R review (if applicable)</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Zoning / variance confirmation letter</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Open violations search (L&amp;I)</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Pending litigation search</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80" w:before="0"/>
      </w:pPr>
    </w:p>
    <w:p>
      <w:pPr>
        <w:pStyle w:val="Heading3"/>
        <w:spacing w:after="60" w:before="160"/>
      </w:pPr>
      <w:r>
        <w:rPr>
          <w:rFonts w:ascii="Century Gothic" w:cs="Century Gothic" w:eastAsia="Century Gothic" w:hAnsi="Century Gothic"/>
          <w:b/>
          <w:bCs/>
          <w:i w:val="false"/>
          <w:iCs w:val="false"/>
          <w:color w:val="2A2820"/>
          <w:sz w:val="22"/>
          <w:szCs w:val="22"/>
        </w:rPr>
        <w:t xml:space="preserve">Financial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080"/>
        <w:gridCol w:w="1440"/>
        <w:gridCol w:w="2080"/>
      </w:tblGrid>
      <w:tr>
        <w:tc>
          <w:tcPr>
            <w:tcW w:type="dxa" w:w="57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ITEM</w:t>
            </w:r>
          </w:p>
        </w:tc>
        <w:tc>
          <w:tcPr>
            <w:tcW w:type="dxa" w:w="1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STATUS</w:t>
            </w:r>
          </w:p>
        </w:tc>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DUE DATE</w:t>
            </w:r>
          </w:p>
        </w:tc>
        <w:tc>
          <w:tcPr>
            <w:tcW w:type="dxa" w:w="2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ASSIGNED TO / NOTES</w:t>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T-12 operating statements</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Last 3 years of tax returns</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Current rent roll with lease abstracts</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Utility bills (12 months)</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Property tax bills and assessment history</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Existing service contracts</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Capital expenditure history</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Insurance policies in force</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80" w:before="0"/>
      </w:pPr>
    </w:p>
    <w:p>
      <w:pPr>
        <w:pStyle w:val="Heading3"/>
        <w:spacing w:after="60" w:before="160"/>
      </w:pPr>
      <w:r>
        <w:rPr>
          <w:rFonts w:ascii="Century Gothic" w:cs="Century Gothic" w:eastAsia="Century Gothic" w:hAnsi="Century Gothic"/>
          <w:b/>
          <w:bCs/>
          <w:i w:val="false"/>
          <w:iCs w:val="false"/>
          <w:color w:val="2A2820"/>
          <w:sz w:val="22"/>
          <w:szCs w:val="22"/>
        </w:rPr>
        <w:t xml:space="preserve">Market &amp; Regulatory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080"/>
        <w:gridCol w:w="1440"/>
        <w:gridCol w:w="2080"/>
      </w:tblGrid>
      <w:tr>
        <w:tc>
          <w:tcPr>
            <w:tcW w:type="dxa" w:w="57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ITEM</w:t>
            </w:r>
          </w:p>
        </w:tc>
        <w:tc>
          <w:tcPr>
            <w:tcW w:type="dxa" w:w="1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STATUS</w:t>
            </w:r>
          </w:p>
        </w:tc>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DUE DATE</w:t>
            </w:r>
          </w:p>
        </w:tc>
        <w:tc>
          <w:tcPr>
            <w:tcW w:type="dxa" w:w="2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ASSIGNED TO / NOTES</w:t>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Zoning code printout and confirmation</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Building permit history</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Historic designation confirmation</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OZ tract verification</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Tax abatement eligibility confirmation</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Flood zone certification (LOMA if applicable)</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Environmental databases (EPA / state)</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r>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Local market rent comps (CoStar via Shonda)</w:t>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7A7468"/>
                <w:sz w:val="20"/>
                <w:szCs w:val="20"/>
              </w:rPr>
              <w:t xml:space="preserve">[ ]</w:t>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80" w:before="0"/>
      </w:pPr>
    </w:p>
    <w:p>
      <w:pPr>
        <w:spacing w:after="120" w:before="40"/>
      </w:pPr>
      <w:r>
        <w:rPr>
          <w:rFonts w:ascii="Century Gothic" w:cs="Century Gothic" w:eastAsia="Century Gothic" w:hAnsi="Century Gothic"/>
          <w:b w:val="false"/>
          <w:bCs w:val="false"/>
          <w:i/>
          <w:iCs/>
          <w:color w:val="7A7468"/>
          <w:sz w:val="18"/>
          <w:szCs w:val="18"/>
        </w:rPr>
        <w:t xml:space="preserve">Source: DealDesk due diligence standard checklist  |  ASTM E1527-21 (Phase I)  |  ALTA/NSPS survey standards</w:t>
      </w:r>
    </w:p>
    <w:p>
      <w:r>
        <w:br/>
      </w:r>
    </w:p>
    <w:p>
      <w:pPr>
        <w:spacing w:after="80" w:before="0"/>
      </w:pPr>
    </w:p>
    <w:p>
      <w:pPr>
        <w:pStyle w:val="Heading1"/>
        <w:spacing w:after="0" w:before="0"/>
      </w:pPr>
      <w:r>
        <w:rPr>
          <w:rFonts w:ascii="Century Gothic" w:cs="Century Gothic" w:eastAsia="Century Gothic" w:hAnsi="Century Gothic"/>
          <w:b/>
          <w:bCs/>
          <w:i w:val="false"/>
          <w:iCs w:val="false"/>
          <w:color w:val="EBF2EC"/>
          <w:sz w:val="96"/>
          <w:szCs w:val="96"/>
        </w:rPr>
        <w:t xml:space="preserve">18</w:t>
      </w:r>
    </w:p>
    <w:p>
      <w:pPr>
        <w:pBdr>
          <w:bottom w:val="single" w:color="3E6844" w:sz="8" w:space="4"/>
        </w:pBdr>
        <w:spacing w:after="60" w:before="60"/>
      </w:pPr>
    </w:p>
    <w:p>
      <w:pPr>
        <w:pStyle w:val="Heading1"/>
        <w:spacing w:after="160" w:before="80"/>
      </w:pPr>
      <w:r>
        <w:rPr>
          <w:rFonts w:ascii="Century Gothic" w:cs="Century Gothic" w:eastAsia="Century Gothic" w:hAnsi="Century Gothic"/>
          <w:b/>
          <w:bCs/>
          <w:i w:val="false"/>
          <w:iCs w:val="false"/>
          <w:color w:val="2A2820"/>
          <w:sz w:val="32"/>
          <w:szCs w:val="32"/>
        </w:rPr>
        <w:t xml:space="preserve">PROJECT TIMELINE &amp; MILESTONE SCHEDULE</w:t>
      </w:r>
    </w:p>
    <w:p>
      <w:pPr>
        <w:spacing w:after="140" w:before="0"/>
        <w:jc w:val="both"/>
      </w:pPr>
      <w:r>
        <w:rPr>
          <w:rFonts w:ascii="Century Gothic" w:cs="Century Gothic" w:eastAsia="Century Gothic" w:hAnsi="Century Gothic"/>
          <w:color w:val="7B3F00"/>
          <w:sz w:val="22"/>
          <w:szCs w:val="22"/>
          <w:highlight w:val="yellow"/>
        </w:rPr>
        <w:t xml:space="preserve">{{ timeline_narrative }}</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Milestone Schedule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1080"/>
        <w:gridCol w:w="900"/>
        <w:gridCol w:w="1980"/>
        <w:gridCol w:w="1440"/>
      </w:tblGrid>
      <w:tr>
        <w:tc>
          <w:tcPr>
            <w:tcW w:type="dxa" w:w="1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Phase</w:t>
            </w:r>
          </w:p>
        </w:tc>
        <w:tc>
          <w:tcPr>
            <w:tcW w:type="dxa" w:w="21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Milestone</w:t>
            </w:r>
          </w:p>
        </w:tc>
        <w:tc>
          <w:tcPr>
            <w:tcW w:type="dxa" w:w="1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Target Date</w:t>
            </w:r>
          </w:p>
        </w:tc>
        <w:tc>
          <w:tcPr>
            <w:tcW w:type="dxa" w:w="90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Duration</w:t>
            </w:r>
          </w:p>
        </w:tc>
        <w:tc>
          <w:tcPr>
            <w:tcW w:type="dxa" w:w="19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Dependencies</w:t>
            </w:r>
          </w:p>
        </w:tc>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Owner</w:t>
            </w:r>
          </w:p>
        </w:tc>
      </w:tr>
      <w:tr>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timeline_table }}</w:t>
            </w:r>
          </w:p>
        </w:tc>
        <w:tc>
          <w:tcPr>
            <w:tcW w:type="dxa" w:w="21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90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9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Full project timeline — due diligence, closing, construction, lease-up, stabilization, exit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EBF2EC"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2A4A2E"/>
                <w:sz w:val="20"/>
                <w:szCs w:val="20"/>
              </w:rPr>
              <w:t xml:space="preserve">{{ timeline_gantt }}</w:t>
            </w:r>
          </w:p>
          <w:p>
            <w:pPr>
              <w:spacing w:after="0" w:before="0"/>
              <w:jc w:val="center"/>
            </w:pPr>
            <w:r>
              <w:rPr>
                <w:rFonts w:ascii="Century Gothic" w:cs="Century Gothic" w:eastAsia="Century Gothic" w:hAnsi="Century Gothic"/>
                <w:b w:val="false"/>
                <w:bCs w:val="false"/>
                <w:i/>
                <w:iCs/>
                <w:color w:val="7A7468"/>
                <w:sz w:val="18"/>
                <w:szCs w:val="18"/>
              </w:rPr>
              <w:t xml:space="preserve">Gantt Chart — visual project timeline from LOI to exit (generated if dates are present in deal data)</w:t>
            </w:r>
          </w:p>
        </w:tc>
      </w:tr>
    </w:tbl>
    <w:p>
      <w:pPr>
        <w:spacing w:after="80" w:before="60"/>
        <w:jc w:val="center"/>
      </w:pPr>
      <w:r>
        <w:rPr>
          <w:rFonts w:ascii="Century Gothic" w:cs="Century Gothic" w:eastAsia="Century Gothic" w:hAnsi="Century Gothic"/>
          <w:b w:val="false"/>
          <w:bCs w:val="false"/>
          <w:i/>
          <w:iCs/>
          <w:color w:val="7A7468"/>
          <w:sz w:val="18"/>
          <w:szCs w:val="18"/>
        </w:rPr>
        <w:t xml:space="preserve">Figure 18.1 — Project Timeline  |  Source: DealDesk Underwriting Model</w:t>
      </w:r>
    </w:p>
    <w:p>
      <w:pPr>
        <w:spacing w:after="120" w:before="40"/>
      </w:pPr>
      <w:r>
        <w:rPr>
          <w:rFonts w:ascii="Century Gothic" w:cs="Century Gothic" w:eastAsia="Century Gothic" w:hAnsi="Century Gothic"/>
          <w:b w:val="false"/>
          <w:bCs w:val="false"/>
          <w:i/>
          <w:iCs/>
          <w:color w:val="7A7468"/>
          <w:sz w:val="18"/>
          <w:szCs w:val="18"/>
        </w:rPr>
        <w:t xml:space="preserve">Source: DealDesk project schedule  |  Contractor LOI  |  Lender estimated close timelines</w:t>
      </w:r>
    </w:p>
    <w:p>
      <w:r>
        <w:br/>
      </w:r>
    </w:p>
    <w:p>
      <w:pPr>
        <w:spacing w:after="80" w:before="0"/>
      </w:pPr>
    </w:p>
    <w:p>
      <w:pPr>
        <w:pStyle w:val="Heading1"/>
        <w:spacing w:after="0" w:before="0"/>
      </w:pPr>
      <w:r>
        <w:rPr>
          <w:rFonts w:ascii="Century Gothic" w:cs="Century Gothic" w:eastAsia="Century Gothic" w:hAnsi="Century Gothic"/>
          <w:b/>
          <w:bCs/>
          <w:i w:val="false"/>
          <w:iCs w:val="false"/>
          <w:color w:val="EBF2EC"/>
          <w:sz w:val="96"/>
          <w:szCs w:val="96"/>
        </w:rPr>
        <w:t xml:space="preserve">19</w:t>
      </w:r>
    </w:p>
    <w:p>
      <w:pPr>
        <w:pBdr>
          <w:bottom w:val="single" w:color="3E6844" w:sz="8" w:space="4"/>
        </w:pBdr>
        <w:spacing w:after="60" w:before="60"/>
      </w:pPr>
    </w:p>
    <w:p>
      <w:pPr>
        <w:pStyle w:val="Heading1"/>
        <w:spacing w:after="160" w:before="80"/>
      </w:pPr>
      <w:r>
        <w:rPr>
          <w:rFonts w:ascii="Century Gothic" w:cs="Century Gothic" w:eastAsia="Century Gothic" w:hAnsi="Century Gothic"/>
          <w:b/>
          <w:bCs/>
          <w:i w:val="false"/>
          <w:iCs w:val="false"/>
          <w:color w:val="2A2820"/>
          <w:sz w:val="32"/>
          <w:szCs w:val="32"/>
        </w:rPr>
        <w:t xml:space="preserve">INVESTMENT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E6844" w:sz="20"/>
              <w:bottom w:val="none" w:color="FFFFFF" w:sz="0"/>
              <w:right w:val="none" w:color="FFFFFF" w:sz="0"/>
            </w:tcBorders>
            <w:shd w:fill="EBF2EC" w:val="clear"/>
            <w:tcMar>
              <w:top w:type="dxa" w:w="120"/>
              <w:left w:type="dxa" w:w="200"/>
              <w:bottom w:type="dxa" w:w="120"/>
              <w:right w:type="dxa" w:w="160"/>
            </w:tcMar>
          </w:tcPr>
          <w:p>
            <w:pPr>
              <w:spacing w:after="0" w:before="0"/>
            </w:pPr>
            <w:r>
              <w:rPr>
                <w:rFonts w:ascii="Century Gothic" w:cs="Century Gothic" w:eastAsia="Century Gothic" w:hAnsi="Century Gothic"/>
                <w:color w:val="7B3F00"/>
                <w:sz w:val="22"/>
                <w:szCs w:val="22"/>
                <w:highlight w:val="yellow"/>
              </w:rPr>
              <w:t xml:space="preserve">{{ recommendation_pullquote }}</w:t>
            </w:r>
          </w:p>
        </w:tc>
      </w:tr>
    </w:tbl>
    <w:p>
      <w:pPr>
        <w:spacing w:after="80" w:before="0"/>
      </w:pPr>
    </w:p>
    <w:p>
      <w:pPr>
        <w:spacing w:after="140" w:before="0"/>
        <w:jc w:val="both"/>
      </w:pPr>
      <w:r>
        <w:rPr>
          <w:rFonts w:ascii="Century Gothic" w:cs="Century Gothic" w:eastAsia="Century Gothic" w:hAnsi="Century Gothic"/>
          <w:color w:val="7B3F00"/>
          <w:sz w:val="22"/>
          <w:szCs w:val="22"/>
          <w:highlight w:val="yellow"/>
        </w:rPr>
        <w:t xml:space="preserve">{{ recommendation_narrative_p1 }}</w:t>
      </w:r>
    </w:p>
    <w:p>
      <w:pPr>
        <w:spacing w:after="140" w:before="0"/>
        <w:jc w:val="both"/>
      </w:pPr>
      <w:r>
        <w:rPr>
          <w:rFonts w:ascii="Century Gothic" w:cs="Century Gothic" w:eastAsia="Century Gothic" w:hAnsi="Century Gothic"/>
          <w:color w:val="7B3F00"/>
          <w:sz w:val="22"/>
          <w:szCs w:val="22"/>
          <w:highlight w:val="yellow"/>
        </w:rPr>
        <w:t xml:space="preserve">{{ recommendation_narrative_p2 }}</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Scenario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700"/>
        <w:gridCol w:w="2340"/>
      </w:tblGrid>
      <w:tr>
        <w:tc>
          <w:tcPr>
            <w:tcW w:type="dxa" w:w="21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Metric</w:t>
            </w:r>
          </w:p>
        </w:tc>
        <w:tc>
          <w:tcPr>
            <w:tcW w:type="dxa" w:w="21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Scenario A — Base</w:t>
            </w:r>
          </w:p>
        </w:tc>
        <w:tc>
          <w:tcPr>
            <w:tcW w:type="dxa" w:w="270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Scenario B — Conservative</w:t>
            </w:r>
          </w:p>
        </w:tc>
        <w:tc>
          <w:tcPr>
            <w:tcW w:type="dxa" w:w="23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Threshold</w:t>
            </w:r>
          </w:p>
        </w:tc>
      </w:tr>
      <w:tr>
        <w:tc>
          <w:tcPr>
            <w:tcW w:type="dxa" w:w="21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scenario_comparison_table }}</w:t>
            </w:r>
          </w:p>
        </w:tc>
        <w:tc>
          <w:tcPr>
            <w:tcW w:type="dxa" w:w="21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70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23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Scenario A vs. B — 9 key return metrics</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Go / No-Go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760"/>
        <w:gridCol w:w="1440"/>
      </w:tblGrid>
      <w:tr>
        <w:tc>
          <w:tcPr>
            <w:tcW w:type="dxa" w:w="21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Criterion</w:t>
            </w:r>
          </w:p>
        </w:tc>
        <w:tc>
          <w:tcPr>
            <w:tcW w:type="dxa" w:w="57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Assessment</w:t>
            </w:r>
          </w:p>
        </w:tc>
        <w:tc>
          <w:tcPr>
            <w:tcW w:type="dxa" w:w="144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Verdict</w:t>
            </w:r>
          </w:p>
        </w:tc>
      </w:tr>
      <w:tr>
        <w:tc>
          <w:tcPr>
            <w:tcW w:type="dxa" w:w="21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go_nogo_table }}</w:t>
            </w:r>
          </w:p>
        </w:tc>
        <w:tc>
          <w:tcPr>
            <w:tcW w:type="dxa" w:w="57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44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5-criterion pass/fail Go/No-Go assessment</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Key Risks</w:t>
      </w:r>
    </w:p>
    <w:p>
      <w:pPr>
        <w:spacing w:after="80" w:before="0"/>
        <w:ind w:left="360"/>
      </w:pPr>
      <w:r>
        <w:rPr>
          <w:rFonts w:ascii="Century Gothic" w:cs="Century Gothic" w:eastAsia="Century Gothic" w:hAnsi="Century Gothic"/>
          <w:b/>
          <w:bCs/>
          <w:i w:val="false"/>
          <w:iCs w:val="false"/>
          <w:color w:val="C0392B"/>
          <w:sz w:val="22"/>
          <w:szCs w:val="22"/>
        </w:rPr>
        <w:t xml:space="preserve">→  </w:t>
      </w:r>
      <w:r>
        <w:rPr>
          <w:rFonts w:ascii="Century Gothic" w:cs="Century Gothic" w:eastAsia="Century Gothic" w:hAnsi="Century Gothic"/>
          <w:color w:val="7B3F00"/>
          <w:sz w:val="22"/>
          <w:szCs w:val="22"/>
          <w:highlight w:val="yellow"/>
        </w:rPr>
        <w:t xml:space="preserve">{{ risk_1 }}</w:t>
      </w:r>
    </w:p>
    <w:p>
      <w:pPr>
        <w:spacing w:after="80" w:before="0"/>
        <w:ind w:left="360"/>
      </w:pPr>
      <w:r>
        <w:rPr>
          <w:rFonts w:ascii="Century Gothic" w:cs="Century Gothic" w:eastAsia="Century Gothic" w:hAnsi="Century Gothic"/>
          <w:b/>
          <w:bCs/>
          <w:i w:val="false"/>
          <w:iCs w:val="false"/>
          <w:color w:val="C0392B"/>
          <w:sz w:val="22"/>
          <w:szCs w:val="22"/>
        </w:rPr>
        <w:t xml:space="preserve">→  </w:t>
      </w:r>
      <w:r>
        <w:rPr>
          <w:rFonts w:ascii="Century Gothic" w:cs="Century Gothic" w:eastAsia="Century Gothic" w:hAnsi="Century Gothic"/>
          <w:color w:val="7B3F00"/>
          <w:sz w:val="22"/>
          <w:szCs w:val="22"/>
          <w:highlight w:val="yellow"/>
        </w:rPr>
        <w:t xml:space="preserve">{{ risk_2 }}</w:t>
      </w:r>
    </w:p>
    <w:p>
      <w:pPr>
        <w:spacing w:after="80" w:before="0"/>
        <w:ind w:left="360"/>
      </w:pPr>
      <w:r>
        <w:rPr>
          <w:rFonts w:ascii="Century Gothic" w:cs="Century Gothic" w:eastAsia="Century Gothic" w:hAnsi="Century Gothic"/>
          <w:b/>
          <w:bCs/>
          <w:i w:val="false"/>
          <w:iCs w:val="false"/>
          <w:color w:val="C0392B"/>
          <w:sz w:val="22"/>
          <w:szCs w:val="22"/>
        </w:rPr>
        <w:t xml:space="preserve">→  </w:t>
      </w:r>
      <w:r>
        <w:rPr>
          <w:rFonts w:ascii="Century Gothic" w:cs="Century Gothic" w:eastAsia="Century Gothic" w:hAnsi="Century Gothic"/>
          <w:color w:val="7B3F00"/>
          <w:sz w:val="22"/>
          <w:szCs w:val="22"/>
          <w:highlight w:val="yellow"/>
        </w:rPr>
        <w:t xml:space="preserve">{{ risk_3 }}</w:t>
      </w:r>
    </w:p>
    <w:p>
      <w:r>
        <w:br/>
      </w:r>
    </w:p>
    <w:p>
      <w:pPr>
        <w:spacing w:after="80" w:before="0"/>
      </w:pPr>
    </w:p>
    <w:p>
      <w:pPr>
        <w:pStyle w:val="Heading1"/>
        <w:spacing w:after="0" w:before="0"/>
      </w:pPr>
      <w:r>
        <w:rPr>
          <w:rFonts w:ascii="Century Gothic" w:cs="Century Gothic" w:eastAsia="Century Gothic" w:hAnsi="Century Gothic"/>
          <w:b/>
          <w:bCs/>
          <w:i w:val="false"/>
          <w:iCs w:val="false"/>
          <w:color w:val="EBF2EC"/>
          <w:sz w:val="96"/>
          <w:szCs w:val="96"/>
        </w:rPr>
        <w:t xml:space="preserve">20</w:t>
      </w:r>
    </w:p>
    <w:p>
      <w:pPr>
        <w:pBdr>
          <w:bottom w:val="single" w:color="3E6844" w:sz="8" w:space="4"/>
        </w:pBdr>
        <w:spacing w:after="60" w:before="60"/>
      </w:pPr>
    </w:p>
    <w:p>
      <w:pPr>
        <w:pStyle w:val="Heading1"/>
        <w:spacing w:after="160" w:before="80"/>
      </w:pPr>
      <w:r>
        <w:rPr>
          <w:rFonts w:ascii="Century Gothic" w:cs="Century Gothic" w:eastAsia="Century Gothic" w:hAnsi="Century Gothic"/>
          <w:b/>
          <w:bCs/>
          <w:i w:val="false"/>
          <w:iCs w:val="false"/>
          <w:color w:val="2A2820"/>
          <w:sz w:val="32"/>
          <w:szCs w:val="32"/>
        </w:rPr>
        <w:t xml:space="preserve">CONCLUSIONS &amp; NEXT STEPS</w:t>
      </w:r>
    </w:p>
    <w:p>
      <w:pPr>
        <w:spacing w:after="140" w:before="0"/>
        <w:jc w:val="both"/>
      </w:pPr>
      <w:r>
        <w:rPr>
          <w:rFonts w:ascii="Century Gothic" w:cs="Century Gothic" w:eastAsia="Century Gothic" w:hAnsi="Century Gothic"/>
          <w:color w:val="7B3F00"/>
          <w:sz w:val="22"/>
          <w:szCs w:val="22"/>
          <w:highlight w:val="yellow"/>
        </w:rPr>
        <w:t xml:space="preserve">{{ conclusion_1 }}</w:t>
      </w:r>
    </w:p>
    <w:p>
      <w:pPr>
        <w:spacing w:after="40" w:before="0"/>
      </w:pPr>
    </w:p>
    <w:p>
      <w:pPr>
        <w:spacing w:after="140" w:before="0"/>
        <w:jc w:val="both"/>
      </w:pPr>
      <w:r>
        <w:rPr>
          <w:rFonts w:ascii="Century Gothic" w:cs="Century Gothic" w:eastAsia="Century Gothic" w:hAnsi="Century Gothic"/>
          <w:color w:val="7B3F00"/>
          <w:sz w:val="22"/>
          <w:szCs w:val="22"/>
          <w:highlight w:val="yellow"/>
        </w:rPr>
        <w:t xml:space="preserve">{{ conclusion_2 }}</w:t>
      </w:r>
    </w:p>
    <w:p>
      <w:pPr>
        <w:spacing w:after="40" w:before="0"/>
      </w:pPr>
    </w:p>
    <w:p>
      <w:pPr>
        <w:spacing w:after="140" w:before="0"/>
        <w:jc w:val="both"/>
      </w:pPr>
      <w:r>
        <w:rPr>
          <w:rFonts w:ascii="Century Gothic" w:cs="Century Gothic" w:eastAsia="Century Gothic" w:hAnsi="Century Gothic"/>
          <w:color w:val="7B3F00"/>
          <w:sz w:val="22"/>
          <w:szCs w:val="22"/>
          <w:highlight w:val="yellow"/>
        </w:rPr>
        <w:t xml:space="preserve">{{ conclusion_3 }}</w:t>
      </w:r>
    </w:p>
    <w:p>
      <w:pPr>
        <w:spacing w:after="40" w:before="0"/>
      </w:pPr>
    </w:p>
    <w:p>
      <w:pPr>
        <w:spacing w:after="140" w:before="0"/>
        <w:jc w:val="both"/>
      </w:pPr>
      <w:r>
        <w:rPr>
          <w:rFonts w:ascii="Century Gothic" w:cs="Century Gothic" w:eastAsia="Century Gothic" w:hAnsi="Century Gothic"/>
          <w:color w:val="7B3F00"/>
          <w:sz w:val="22"/>
          <w:szCs w:val="22"/>
          <w:highlight w:val="yellow"/>
        </w:rPr>
        <w:t xml:space="preserve">{{ conclusion_4 }}</w:t>
      </w:r>
    </w:p>
    <w:p>
      <w:pPr>
        <w:spacing w:after="40" w:before="0"/>
      </w:pPr>
    </w:p>
    <w:p>
      <w:pPr>
        <w:spacing w:after="140" w:before="0"/>
        <w:jc w:val="both"/>
      </w:pPr>
      <w:r>
        <w:rPr>
          <w:rFonts w:ascii="Century Gothic" w:cs="Century Gothic" w:eastAsia="Century Gothic" w:hAnsi="Century Gothic"/>
          <w:color w:val="7B3F00"/>
          <w:sz w:val="22"/>
          <w:szCs w:val="22"/>
          <w:highlight w:val="yellow"/>
        </w:rPr>
        <w:t xml:space="preserve">{{ conclusion_5 }}</w:t>
      </w:r>
    </w:p>
    <w:p>
      <w:pPr>
        <w:spacing w:after="40" w:before="0"/>
      </w:pP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Prioritized Next Steps</w:t>
      </w:r>
    </w:p>
    <w:p>
      <w:pPr>
        <w:spacing w:after="80" w:before="0"/>
        <w:ind w:left="360"/>
      </w:pPr>
      <w:r>
        <w:rPr>
          <w:rFonts w:ascii="Century Gothic" w:cs="Century Gothic" w:eastAsia="Century Gothic" w:hAnsi="Century Gothic"/>
          <w:b/>
          <w:bCs/>
          <w:i w:val="false"/>
          <w:iCs w:val="false"/>
          <w:color w:val="3E6844"/>
          <w:sz w:val="22"/>
          <w:szCs w:val="22"/>
        </w:rPr>
        <w:t xml:space="preserve">1.  </w:t>
      </w:r>
      <w:r>
        <w:rPr>
          <w:rFonts w:ascii="Century Gothic" w:cs="Century Gothic" w:eastAsia="Century Gothic" w:hAnsi="Century Gothic"/>
          <w:color w:val="7B3F00"/>
          <w:sz w:val="22"/>
          <w:szCs w:val="22"/>
          <w:highlight w:val="yellow"/>
        </w:rPr>
        <w:t xml:space="preserve">{{ next_step_1 }}</w:t>
      </w:r>
    </w:p>
    <w:p>
      <w:pPr>
        <w:spacing w:after="80" w:before="0"/>
        <w:ind w:left="360"/>
      </w:pPr>
      <w:r>
        <w:rPr>
          <w:rFonts w:ascii="Century Gothic" w:cs="Century Gothic" w:eastAsia="Century Gothic" w:hAnsi="Century Gothic"/>
          <w:b/>
          <w:bCs/>
          <w:i w:val="false"/>
          <w:iCs w:val="false"/>
          <w:color w:val="3E6844"/>
          <w:sz w:val="22"/>
          <w:szCs w:val="22"/>
        </w:rPr>
        <w:t xml:space="preserve">2.  </w:t>
      </w:r>
      <w:r>
        <w:rPr>
          <w:rFonts w:ascii="Century Gothic" w:cs="Century Gothic" w:eastAsia="Century Gothic" w:hAnsi="Century Gothic"/>
          <w:color w:val="7B3F00"/>
          <w:sz w:val="22"/>
          <w:szCs w:val="22"/>
          <w:highlight w:val="yellow"/>
        </w:rPr>
        <w:t xml:space="preserve">{{ next_step_2 }}</w:t>
      </w:r>
    </w:p>
    <w:p>
      <w:pPr>
        <w:spacing w:after="80" w:before="0"/>
        <w:ind w:left="360"/>
      </w:pPr>
      <w:r>
        <w:rPr>
          <w:rFonts w:ascii="Century Gothic" w:cs="Century Gothic" w:eastAsia="Century Gothic" w:hAnsi="Century Gothic"/>
          <w:b/>
          <w:bCs/>
          <w:i w:val="false"/>
          <w:iCs w:val="false"/>
          <w:color w:val="3E6844"/>
          <w:sz w:val="22"/>
          <w:szCs w:val="22"/>
        </w:rPr>
        <w:t xml:space="preserve">3.  </w:t>
      </w:r>
      <w:r>
        <w:rPr>
          <w:rFonts w:ascii="Century Gothic" w:cs="Century Gothic" w:eastAsia="Century Gothic" w:hAnsi="Century Gothic"/>
          <w:color w:val="7B3F00"/>
          <w:sz w:val="22"/>
          <w:szCs w:val="22"/>
          <w:highlight w:val="yellow"/>
        </w:rPr>
        <w:t xml:space="preserve">{{ next_step_3 }}</w:t>
      </w:r>
    </w:p>
    <w:p>
      <w:pPr>
        <w:spacing w:after="80" w:before="0"/>
        <w:ind w:left="360"/>
      </w:pPr>
      <w:r>
        <w:rPr>
          <w:rFonts w:ascii="Century Gothic" w:cs="Century Gothic" w:eastAsia="Century Gothic" w:hAnsi="Century Gothic"/>
          <w:b/>
          <w:bCs/>
          <w:i w:val="false"/>
          <w:iCs w:val="false"/>
          <w:color w:val="3E6844"/>
          <w:sz w:val="22"/>
          <w:szCs w:val="22"/>
        </w:rPr>
        <w:t xml:space="preserve">4.  </w:t>
      </w:r>
      <w:r>
        <w:rPr>
          <w:rFonts w:ascii="Century Gothic" w:cs="Century Gothic" w:eastAsia="Century Gothic" w:hAnsi="Century Gothic"/>
          <w:color w:val="7B3F00"/>
          <w:sz w:val="22"/>
          <w:szCs w:val="22"/>
          <w:highlight w:val="yellow"/>
        </w:rPr>
        <w:t xml:space="preserve">{{ next_step_4 }}</w:t>
      </w:r>
    </w:p>
    <w:p>
      <w:pPr>
        <w:spacing w:after="80" w:before="0"/>
        <w:ind w:left="360"/>
      </w:pPr>
      <w:r>
        <w:rPr>
          <w:rFonts w:ascii="Century Gothic" w:cs="Century Gothic" w:eastAsia="Century Gothic" w:hAnsi="Century Gothic"/>
          <w:b/>
          <w:bCs/>
          <w:i w:val="false"/>
          <w:iCs w:val="false"/>
          <w:color w:val="3E6844"/>
          <w:sz w:val="22"/>
          <w:szCs w:val="22"/>
        </w:rPr>
        <w:t xml:space="preserve">5.  </w:t>
      </w:r>
      <w:r>
        <w:rPr>
          <w:rFonts w:ascii="Century Gothic" w:cs="Century Gothic" w:eastAsia="Century Gothic" w:hAnsi="Century Gothic"/>
          <w:color w:val="7B3F00"/>
          <w:sz w:val="22"/>
          <w:szCs w:val="22"/>
          <w:highlight w:val="yellow"/>
        </w:rPr>
        <w:t xml:space="preserve">{{ next_step_5 }}</w:t>
      </w:r>
    </w:p>
    <w:p>
      <w:pPr>
        <w:spacing w:after="80" w:before="0"/>
        <w:ind w:left="360"/>
      </w:pPr>
      <w:r>
        <w:rPr>
          <w:rFonts w:ascii="Century Gothic" w:cs="Century Gothic" w:eastAsia="Century Gothic" w:hAnsi="Century Gothic"/>
          <w:b/>
          <w:bCs/>
          <w:i w:val="false"/>
          <w:iCs w:val="false"/>
          <w:color w:val="3E6844"/>
          <w:sz w:val="22"/>
          <w:szCs w:val="22"/>
        </w:rPr>
        <w:t xml:space="preserve">6.  </w:t>
      </w:r>
      <w:r>
        <w:rPr>
          <w:rFonts w:ascii="Century Gothic" w:cs="Century Gothic" w:eastAsia="Century Gothic" w:hAnsi="Century Gothic"/>
          <w:color w:val="7B3F00"/>
          <w:sz w:val="22"/>
          <w:szCs w:val="22"/>
          <w:highlight w:val="yellow"/>
        </w:rPr>
        <w:t xml:space="preserve">{{ next_step_6 }}</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E6844" w:sz="20"/>
              <w:bottom w:val="none" w:color="FFFFFF" w:sz="0"/>
              <w:right w:val="none" w:color="FFFFFF" w:sz="0"/>
            </w:tcBorders>
            <w:shd w:fill="EBF2EC" w:val="clear"/>
            <w:tcMar>
              <w:top w:type="dxa" w:w="120"/>
              <w:left w:type="dxa" w:w="200"/>
              <w:bottom w:type="dxa" w:w="120"/>
              <w:right w:type="dxa" w:w="160"/>
            </w:tcMar>
          </w:tcPr>
          <w:p>
            <w:pPr>
              <w:spacing w:after="0" w:before="0"/>
            </w:pPr>
            <w:r>
              <w:rPr>
                <w:rFonts w:ascii="Century Gothic" w:cs="Century Gothic" w:eastAsia="Century Gothic" w:hAnsi="Century Gothic"/>
                <w:color w:val="7B3F00"/>
                <w:sz w:val="22"/>
                <w:szCs w:val="22"/>
                <w:highlight w:val="yellow"/>
              </w:rPr>
              <w:t xml:space="preserve">{{ bottom_line }}</w:t>
            </w:r>
          </w:p>
        </w:tc>
      </w:tr>
    </w:tbl>
    <w:p>
      <w:r>
        <w:br/>
      </w:r>
    </w:p>
    <w:p>
      <w:pPr>
        <w:spacing w:after="80" w:before="0"/>
      </w:pPr>
    </w:p>
    <w:p>
      <w:pPr>
        <w:pStyle w:val="Heading1"/>
        <w:spacing w:after="0" w:before="0"/>
      </w:pPr>
      <w:r>
        <w:rPr>
          <w:rFonts w:ascii="Century Gothic" w:cs="Century Gothic" w:eastAsia="Century Gothic" w:hAnsi="Century Gothic"/>
          <w:b/>
          <w:bCs/>
          <w:i w:val="false"/>
          <w:iCs w:val="false"/>
          <w:color w:val="EBF2EC"/>
          <w:sz w:val="96"/>
          <w:szCs w:val="96"/>
        </w:rPr>
        <w:t xml:space="preserve">21</w:t>
      </w:r>
    </w:p>
    <w:p>
      <w:pPr>
        <w:pBdr>
          <w:bottom w:val="single" w:color="3E6844" w:sz="8" w:space="4"/>
        </w:pBdr>
        <w:spacing w:after="60" w:before="60"/>
      </w:pPr>
    </w:p>
    <w:p>
      <w:pPr>
        <w:pStyle w:val="Heading1"/>
        <w:spacing w:after="160" w:before="80"/>
      </w:pPr>
      <w:r>
        <w:rPr>
          <w:rFonts w:ascii="Century Gothic" w:cs="Century Gothic" w:eastAsia="Century Gothic" w:hAnsi="Century Gothic"/>
          <w:b/>
          <w:bCs/>
          <w:i w:val="false"/>
          <w:iCs w:val="false"/>
          <w:color w:val="2A2820"/>
          <w:sz w:val="32"/>
          <w:szCs w:val="32"/>
        </w:rPr>
        <w:t xml:space="preserve">DISCLAIMER &amp; CERTIFICATION</w:t>
      </w: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Disclaimer</w:t>
      </w:r>
    </w:p>
    <w:p>
      <w:pPr>
        <w:spacing w:after="140" w:before="0"/>
        <w:jc w:val="both"/>
      </w:pPr>
      <w:r>
        <w:rPr>
          <w:rFonts w:ascii="Century Gothic" w:cs="Century Gothic" w:eastAsia="Century Gothic" w:hAnsi="Century Gothic"/>
          <w:b w:val="false"/>
          <w:bCs w:val="false"/>
          <w:i w:val="false"/>
          <w:iCs w:val="false"/>
          <w:color w:val="2A2820"/>
          <w:sz w:val="22"/>
          <w:szCs w:val="22"/>
        </w:rPr>
        <w:t xml:space="preserve">This Investment Underwriting Report is prepared exclusively for the internal use of DealDesk and its authorized representatives. All projections, valuations, financial analyses, and market assessments contained herein are based on assumptions and data that DealDesk believes to be reliable and reasonable, but which cannot be guaranteed. Actual results may differ materially from those projected. This report does not constitute legal, tax, or investment advice, nor an offer to sell or solicitation to purchase any security or investment product. Reproduction or distribution of this report, in whole or in part, without the prior written consent of DealDesk CRE Underwriting is strictly prohibited.</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Certification</w:t>
      </w:r>
    </w:p>
    <w:p>
      <w:pPr>
        <w:spacing w:after="140" w:before="0"/>
      </w:pPr>
      <w:r>
        <w:rPr>
          <w:rFonts w:ascii="Century Gothic" w:cs="Century Gothic" w:eastAsia="Century Gothic" w:hAnsi="Century Gothic"/>
          <w:b w:val="false"/>
          <w:bCs w:val="false"/>
          <w:i w:val="false"/>
          <w:iCs w:val="false"/>
          <w:color w:val="2A2820"/>
          <w:sz w:val="22"/>
          <w:szCs w:val="22"/>
        </w:rPr>
        <w:t xml:space="preserve">I certify that this underwriting report has been prepared in accordance with DealDesk standard underwriting guidelines and that all data, assumptions, and analyses have been reviewed for accuracy and completeness to the best of my knowledge.</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Field</w:t>
            </w:r>
          </w:p>
        </w:tc>
        <w:tc>
          <w:tcPr>
            <w:tcW w:type="dxa" w:w="64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Detail</w:t>
            </w:r>
          </w:p>
        </w:tc>
      </w:tr>
      <w:tr>
        <w:tc>
          <w:tcPr>
            <w:tcW w:type="dxa" w:w="28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certification_table }}</w:t>
            </w:r>
          </w:p>
        </w:tc>
        <w:tc>
          <w:tcPr>
            <w:tcW w:type="dxa" w:w="64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Preparer name, title, date, review status, IC presentation date</w:t>
      </w:r>
    </w:p>
    <w:p>
      <w:r>
        <w:br/>
      </w:r>
    </w:p>
    <w:p>
      <w:pPr>
        <w:spacing w:after="80" w:before="0"/>
      </w:pPr>
    </w:p>
    <w:p>
      <w:pPr>
        <w:pStyle w:val="Heading1"/>
        <w:spacing w:after="0" w:before="0"/>
      </w:pPr>
      <w:r>
        <w:rPr>
          <w:rFonts w:ascii="Century Gothic" w:cs="Century Gothic" w:eastAsia="Century Gothic" w:hAnsi="Century Gothic"/>
          <w:b/>
          <w:bCs/>
          <w:i w:val="false"/>
          <w:iCs w:val="false"/>
          <w:color w:val="EBF2EC"/>
          <w:sz w:val="96"/>
          <w:szCs w:val="96"/>
        </w:rPr>
        <w:t xml:space="preserve">22</w:t>
      </w:r>
    </w:p>
    <w:p>
      <w:pPr>
        <w:pBdr>
          <w:bottom w:val="single" w:color="3E6844" w:sz="8" w:space="4"/>
        </w:pBdr>
        <w:spacing w:after="60" w:before="60"/>
      </w:pPr>
    </w:p>
    <w:p>
      <w:pPr>
        <w:pStyle w:val="Heading1"/>
        <w:spacing w:after="160" w:before="80"/>
      </w:pPr>
      <w:r>
        <w:rPr>
          <w:rFonts w:ascii="Century Gothic" w:cs="Century Gothic" w:eastAsia="Century Gothic" w:hAnsi="Century Gothic"/>
          <w:b/>
          <w:bCs/>
          <w:i w:val="false"/>
          <w:iCs w:val="false"/>
          <w:color w:val="2A2820"/>
          <w:sz w:val="32"/>
          <w:szCs w:val="32"/>
        </w:rPr>
        <w:t xml:space="preserve">APPENDIX A: DATA SOURCES &amp; METHODOLOGY</w:t>
      </w: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Data Sources &amp;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1080"/>
        <w:gridCol w:w="3960"/>
      </w:tblGrid>
      <w:tr>
        <w:tc>
          <w:tcPr>
            <w:tcW w:type="dxa" w:w="21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Data Element</w:t>
            </w:r>
          </w:p>
        </w:tc>
        <w:tc>
          <w:tcPr>
            <w:tcW w:type="dxa" w:w="21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Source</w:t>
            </w:r>
          </w:p>
        </w:tc>
        <w:tc>
          <w:tcPr>
            <w:tcW w:type="dxa" w:w="108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Date Pulled</w:t>
            </w:r>
          </w:p>
        </w:tc>
        <w:tc>
          <w:tcPr>
            <w:tcW w:type="dxa" w:w="3960"/>
            <w:tcBorders>
              <w:top w:val="single" w:color="D8D4CC" w:sz="2"/>
              <w:left w:val="single" w:color="D8D4CC" w:sz="2"/>
              <w:bottom w:val="single" w:color="D8D4CC" w:sz="2"/>
              <w:right w:val="single" w:color="D8D4CC" w:sz="2"/>
            </w:tcBorders>
            <w:shd w:fill="2A2820"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URL / Reference</w:t>
            </w:r>
          </w:p>
        </w:tc>
      </w:tr>
      <w:tr>
        <w:tc>
          <w:tcPr>
            <w:tcW w:type="dxa" w:w="21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color w:val="7B3F00"/>
                <w:sz w:val="22"/>
                <w:szCs w:val="22"/>
                <w:highlight w:val="yellow"/>
              </w:rPr>
              <w:t xml:space="preserve">{{ data_provenance_table }}</w:t>
            </w:r>
          </w:p>
        </w:tc>
        <w:tc>
          <w:tcPr>
            <w:tcW w:type="dxa" w:w="21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108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c>
          <w:tcPr>
            <w:tcW w:type="dxa" w:w="3960"/>
            <w:tcBorders>
              <w:top w:val="single" w:color="D8D4CC" w:sz="2"/>
              <w:left w:val="single" w:color="D8D4CC" w:sz="2"/>
              <w:bottom w:val="single" w:color="D8D4CC" w:sz="2"/>
              <w:right w:val="single" w:color="D8D4CC" w:sz="2"/>
            </w:tcBorders>
            <w:shd w:fill="F2F4EC"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A2820"/>
                <w:sz w:val="20"/>
                <w:szCs w:val="20"/>
              </w:rPr>
              <w:t xml:space="preserve"/>
            </w:r>
          </w:p>
        </w:tc>
      </w:tr>
    </w:tbl>
    <w:p>
      <w:pPr>
        <w:spacing w:after="120" w:before="60"/>
        <w:jc w:val="center"/>
      </w:pPr>
      <w:r>
        <w:rPr>
          <w:rFonts w:ascii="Century Gothic" w:cs="Century Gothic" w:eastAsia="Century Gothic" w:hAnsi="Century Gothic"/>
          <w:b w:val="false"/>
          <w:bCs w:val="false"/>
          <w:i/>
          <w:iCs/>
          <w:color w:val="7A7468"/>
          <w:sz w:val="18"/>
          <w:szCs w:val="18"/>
        </w:rPr>
        <w:t xml:space="preserve">↑  Complete data provenance — all pipeline sources including Prompt 3D (supply) and Prompt 4B (insurance)</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Methodology Notes</w:t>
      </w:r>
    </w:p>
    <w:p>
      <w:pPr>
        <w:spacing w:after="140" w:before="0"/>
        <w:jc w:val="both"/>
      </w:pPr>
      <w:r>
        <w:rPr>
          <w:rFonts w:ascii="Century Gothic" w:cs="Century Gothic" w:eastAsia="Century Gothic" w:hAnsi="Century Gothic"/>
          <w:color w:val="7B3F00"/>
          <w:sz w:val="22"/>
          <w:szCs w:val="22"/>
          <w:highlight w:val="yellow"/>
        </w:rPr>
        <w:t xml:space="preserve">{{ methodology_notes }}</w:t>
      </w:r>
    </w:p>
    <w:p>
      <w:pPr>
        <w:spacing w:after="80" w:before="0"/>
      </w:pPr>
    </w:p>
    <w:p>
      <w:pPr>
        <w:pStyle w:val="Heading2"/>
        <w:pBdr>
          <w:left w:val="single" w:color="3E6844" w:sz="12" w:space="6"/>
        </w:pBdr>
        <w:spacing w:after="80" w:before="200"/>
        <w:ind w:left="120"/>
      </w:pPr>
      <w:r>
        <w:rPr>
          <w:rFonts w:ascii="Century Gothic" w:cs="Century Gothic" w:eastAsia="Century Gothic" w:hAnsi="Century Gothic"/>
          <w:b/>
          <w:bCs/>
          <w:i w:val="false"/>
          <w:iCs w:val="false"/>
          <w:color w:val="2A4A2E"/>
          <w:sz w:val="24"/>
          <w:szCs w:val="24"/>
        </w:rPr>
        <w:t xml:space="preserve">AI Prompt Catalog Reference</w:t>
      </w:r>
    </w:p>
    <w:p>
      <w:pPr>
        <w:spacing w:after="100" w:before="0"/>
      </w:pPr>
      <w:r>
        <w:rPr>
          <w:rFonts w:ascii="Century Gothic" w:cs="Century Gothic" w:eastAsia="Century Gothic" w:hAnsi="Century Gothic"/>
          <w:b w:val="false"/>
          <w:bCs w:val="false"/>
          <w:i/>
          <w:iCs/>
          <w:color w:val="7A7468"/>
          <w:sz w:val="20"/>
          <w:szCs w:val="20"/>
        </w:rPr>
        <w:t xml:space="preserve">This report was generated using DealDesk Automated Underwriting System v1.0. Document extraction uses claude-haiku (Prompts 2A, 2B, 2C). Zoning analysis and narrative generation use claude-sonnet (Prompts 3A, 3B, 3C, 3D, 4B, 4-MASTER). All AI-generated content is reviewed by the principal analyst prior to report finalization. Financial model calculations are deterministic Python — no AI is used in any numerical computation. Municipal data (zoning portals, parcel access) sourced from DealDesk Municipal Registry covering approximately 19,000 U.S. municipalities (data/municipal_registry.csv).</w:t>
      </w:r>
    </w:p>
    <w:p>
      <w:pPr>
        <w:spacing w:after="120" w:before="0"/>
      </w:pPr>
    </w:p>
    <w:p>
      <w:pPr>
        <w:pBdr>
          <w:bottom w:val="single" w:color="D8D4CC" w:sz="2" w:space="2"/>
        </w:pBdr>
        <w:spacing w:after="40" w:before="40"/>
      </w:pPr>
    </w:p>
    <w:p>
      <w:pPr>
        <w:spacing w:after="60" w:before="0"/>
      </w:pPr>
    </w:p>
    <w:p>
      <w:pPr>
        <w:spacing w:after="0" w:before="0"/>
        <w:jc w:val="center"/>
      </w:pPr>
      <w:r>
        <w:rPr>
          <w:rFonts w:ascii="Century Gothic" w:cs="Century Gothic" w:eastAsia="Century Gothic" w:hAnsi="Century Gothic"/>
          <w:b/>
          <w:bCs/>
          <w:i w:val="false"/>
          <w:iCs w:val="false"/>
          <w:color w:val="7A7468"/>
          <w:sz w:val="20"/>
          <w:szCs w:val="20"/>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CC" w:sz="2" w:space="4"/>
      </w:pBdr>
      <w:tabs>
        <w:tab w:val="right" w:pos="9360"/>
      </w:tabs>
      <w:spacing w:after="0" w:before="60"/>
    </w:pPr>
    <w:r>
      <w:rPr>
        <w:rFonts w:ascii="Century Gothic" w:cs="Century Gothic" w:eastAsia="Century Gothic" w:hAnsi="Century Gothic"/>
        <w:b w:val="false"/>
        <w:bCs w:val="false"/>
        <w:i w:val="false"/>
        <w:iCs w:val="false"/>
        <w:color w:val="7A7468"/>
        <w:sz w:val="16"/>
        <w:szCs w:val="16"/>
      </w:rPr>
      <w:t xml:space="preserve">This report is confidential and prepared for the internal use of DealDesk.</w:t>
    </w:r>
    <w:r>
      <w:rPr>
        <w:rFonts w:ascii="Century Gothic" w:cs="Century Gothic" w:eastAsia="Century Gothic" w:hAnsi="Century Gothic"/>
        <w:color w:val="7A7468"/>
        <w:sz w:val="16"/>
        <w:szCs w:val="16"/>
      </w:rPr>
      <w:t xml:space="preserve">	Page </w:t>
    </w:r>
    <w:r>
      <w:rPr>
        <w:rFonts w:ascii="Century Gothic" w:cs="Century Gothic" w:eastAsia="Century Gothic" w:hAnsi="Century Gothic"/>
        <w:color w:val="7A74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844" w:sz="6" w:space="4"/>
      </w:pBdr>
      <w:tabs>
        <w:tab w:val="right" w:pos="9360"/>
      </w:tabs>
      <w:spacing w:after="60" w:before="0"/>
    </w:pPr>
    <w:r>
      <w:drawing>
        <wp:inline distT="0" distB="0" distL="0" distR="0">
          <wp:extent cx="838200" cy="219075"/>
          <wp:effectExtent t="0" r="0" b="0" l="0"/>
          <wp:docPr id="1" name="DealDesk" descr="DealDesk logo" title="Deal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219075"/>
                  </a:xfrm>
                  <a:prstGeom prst="rect">
                    <a:avLst/>
                  </a:prstGeom>
                </pic:spPr>
              </pic:pic>
            </a:graphicData>
          </a:graphic>
        </wp:inline>
      </w:drawing>
    </w:r>
    <w:r>
      <w:rPr>
        <w:rFonts w:ascii="Century Gothic" w:cs="Century Gothic" w:eastAsia="Century Gothic" w:hAnsi="Century Gothic"/>
        <w:b/>
        <w:bCs/>
        <w:color w:val="7A7468"/>
        <w:sz w:val="16"/>
        <w:szCs w:val="16"/>
      </w:rPr>
      <w:t xml:space="preserve">  |  INVESTMENT UNDERWRITING REPORT</w:t>
    </w:r>
    <w:r>
      <w:rPr>
        <w:rFonts w:ascii="Century Gothic" w:cs="Century Gothic" w:eastAsia="Century Gothic" w:hAnsi="Century Gothic"/>
        <w:color w:val="7A746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Century Gothic" w:cs="Century Gothic" w:eastAsia="Century Gothic" w:hAnsi="Century Gothic"/>
        <w:b/>
        <w:bCs/>
        <w:color w:val="3E6844"/>
        <w:sz w:val="22"/>
        <w:szCs w:val="22"/>
      </w:rPr>
    </w:lvl>
  </w:abstractNum>
  <w:abstractNum w:abstractNumId="3" w15:restartNumberingAfterBreak="0">
    <w:multiLevelType w:val="hybridMultilevel"/>
    <w:lvl w:ilvl="0" w15:tentative="1">
      <w:start w:val="1"/>
      <w:numFmt w:val="decimal"/>
      <w:lvlText w:val="%1."/>
      <w:lvlJc w:val="left"/>
      <w:pPr>
        <w:ind w:left="540" w:hanging="360"/>
      </w:pPr>
      <w:rPr>
        <w:rFonts w:ascii="Century Gothic" w:cs="Century Gothic" w:eastAsia="Century Gothic" w:hAnsi="Century Gothic"/>
        <w:b/>
        <w:bCs/>
        <w:color w:val="3E6844"/>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entury Gothic" w:cs="Century Gothic" w:eastAsia="Century Gothic" w:hAnsi="Century Gothic"/>
      <w:b/>
      <w:bCs/>
      <w:color w:val="2A2820"/>
      <w:sz w:val="32"/>
      <w:szCs w:val="32"/>
    </w:rPr>
  </w:style>
  <w:style w:type="paragraph" w:styleId="Heading2">
    <w:name w:val="Heading 2"/>
    <w:basedOn w:val="Normal"/>
    <w:next w:val="Normal"/>
    <w:qFormat/>
    <w:pPr>
      <w:pBdr>
        <w:left w:val="single" w:color="3E6844" w:sz="12" w:space="6"/>
      </w:pBdr>
      <w:spacing w:after="80" w:before="200"/>
      <w:ind w:left="120"/>
      <w:outlineLvl w:val="1"/>
    </w:pPr>
    <w:rPr>
      <w:rFonts w:ascii="Century Gothic" w:cs="Century Gothic" w:eastAsia="Century Gothic" w:hAnsi="Century Gothic"/>
      <w:b/>
      <w:bCs/>
      <w:color w:val="2A4A2E"/>
      <w:sz w:val="24"/>
      <w:szCs w:val="24"/>
    </w:rPr>
  </w:style>
  <w:style w:type="paragraph" w:styleId="Heading3">
    <w:name w:val="Heading 3"/>
    <w:basedOn w:val="Normal"/>
    <w:next w:val="Normal"/>
    <w:qFormat/>
    <w:pPr>
      <w:spacing w:after="60" w:before="160"/>
      <w:outlineLvl w:val="2"/>
    </w:pPr>
    <w:rPr>
      <w:rFonts w:ascii="Century Gothic" w:cs="Century Gothic" w:eastAsia="Century Gothic" w:hAnsi="Century Gothic"/>
      <w:b/>
      <w:bCs/>
      <w:color w:val="2A2820"/>
      <w:sz w:val="22"/>
      <w:szCs w:val="22"/>
    </w:rPr>
  </w:style>
  <w:style w:type="paragraph" w:styleId="Normal">
    <w:name w:val="Normal"/>
    <w:basedOn w:val="Normal"/>
    <w:pPr>
      <w:spacing w:after="140" w:before="0"/>
    </w:pPr>
    <w:rPr>
      <w:rFonts w:ascii="Century Gothic" w:cs="Century Gothic" w:eastAsia="Century Gothic" w:hAnsi="Century Gothic"/>
      <w:color w:val="2A28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5139df37cbdb392656bbfb0a29793396a769d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25139df37cbdb392656bbfb0a29793396a769d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DealDesk CRE Underwriting Report — Template v1.0 (22 Sections)</dc:title>
  <dc:creator>DealDesk Automated Underwriting System v1.0</dc:creator>
  <dc:description>DealDesk CRE Underwriting — Sage Editorial Template v1.0 — 22 sections. All {{ placeholders }} for docxtpl pipeline.</dc:description>
  <cp:lastModifiedBy>Un-named</cp:lastModifiedBy>
  <cp:revision>1</cp:revision>
  <dcterms:created xsi:type="dcterms:W3CDTF">2026-04-05T19:23:32.784Z</dcterms:created>
  <dcterms:modified xsi:type="dcterms:W3CDTF">2026-04-05T19:23:32.785Z</dcterms:modified>
</cp:coreProperties>
</file>

<file path=docProps/custom.xml><?xml version="1.0" encoding="utf-8"?>
<Properties xmlns="http://schemas.openxmlformats.org/officeDocument/2006/custom-properties" xmlns:vt="http://schemas.openxmlformats.org/officeDocument/2006/docPropsVTypes"/>
</file>