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rPr>
          <w:rFonts w:ascii="Calibri" w:cs="Calibri" w:eastAsia="Calibri" w:hAnsi="Calibri"/>
          <w:sz w:val="20"/>
          <w:szCs w:val="20"/>
        </w:rPr>
        <w:t xml:space="preserve"/>
      </w:r>
    </w:p>
    <w:p>
      <w:pPr>
        <w:spacing w:after="60" w:before="0"/>
        <w:jc w:val="center"/>
      </w:pPr>
      <w:r>
        <w:rPr>
          <w:rFonts w:ascii="Calibri" w:cs="Calibri" w:eastAsia="Calibri" w:hAnsi="Calibri"/>
          <w:b/>
          <w:bCs/>
          <w:color w:val="4A6E50"/>
          <w:sz w:val="36"/>
          <w:szCs w:val="36"/>
        </w:rPr>
        <w:t xml:space="preserve">DEALDESK</w:t>
      </w:r>
    </w:p>
    <w:p>
      <w:pPr>
        <w:spacing w:after="1200" w:before="0"/>
        <w:jc w:val="center"/>
      </w:pPr>
      <w:r>
        <w:rPr>
          <w:rFonts w:ascii="Calibri" w:cs="Calibri" w:eastAsia="Calibri" w:hAnsi="Calibri"/>
          <w:color w:val="595959"/>
          <w:sz w:val="22"/>
          <w:szCs w:val="22"/>
        </w:rPr>
        <w:t xml:space="preserve">CRE Underwriting Platform</w:t>
      </w:r>
    </w:p>
    <w:p>
      <w:pPr>
        <w:spacing w:after="200" w:before="0"/>
        <w:jc w:val="center"/>
      </w:pPr>
      <w:r>
        <w:rPr>
          <w:rFonts w:ascii="Calibri" w:cs="Calibri" w:eastAsia="Calibri" w:hAnsi="Calibri"/>
          <w:b/>
          <w:bCs/>
          <w:color w:val="1F1F1F"/>
          <w:sz w:val="56"/>
          <w:szCs w:val="56"/>
        </w:rPr>
        <w:t xml:space="preserve">Zoning Analysis Overhaul</w:t>
      </w:r>
    </w:p>
    <w:p>
      <w:pPr>
        <w:spacing w:after="1200" w:before="0"/>
        <w:jc w:val="center"/>
      </w:pPr>
      <w:r>
        <w:rPr>
          <w:rFonts w:ascii="Calibri" w:cs="Calibri" w:eastAsia="Calibri" w:hAnsi="Calibri"/>
          <w:i/>
          <w:iCs/>
          <w:color w:val="595959"/>
          <w:sz w:val="32"/>
          <w:szCs w:val="32"/>
        </w:rPr>
        <w:t xml:space="preserve">Architectural Plan &amp; Session 1 Schema Specification</w:t>
      </w:r>
    </w:p>
    <w:p>
      <w:pPr>
        <w:spacing w:after="80" w:before="0"/>
        <w:jc w:val="center"/>
      </w:pPr>
      <w:r>
        <w:rPr>
          <w:rFonts w:ascii="Calibri" w:cs="Calibri" w:eastAsia="Calibri" w:hAnsi="Calibri"/>
          <w:color w:val="595959"/>
          <w:sz w:val="24"/>
          <w:szCs w:val="24"/>
        </w:rPr>
        <w:t xml:space="preserve">Document Version 1.0   ·   April 27, 2026</w:t>
      </w:r>
    </w:p>
    <w:p>
      <w:pPr>
        <w:spacing w:after="80" w:before="0"/>
        <w:jc w:val="center"/>
      </w:pPr>
      <w:r>
        <w:rPr>
          <w:rFonts w:ascii="Calibri" w:cs="Calibri" w:eastAsia="Calibri" w:hAnsi="Calibri"/>
          <w:color w:val="595959"/>
          <w:sz w:val="24"/>
          <w:szCs w:val="24"/>
        </w:rPr>
        <w:t xml:space="preserve">Prepared for: Mike Freedman, Freedman Properties</w:t>
      </w:r>
    </w:p>
    <w:p>
      <w:pPr>
        <w:spacing w:after="0" w:before="0"/>
        <w:jc w:val="center"/>
      </w:pPr>
      <w:r>
        <w:rPr>
          <w:rFonts w:ascii="Calibri" w:cs="Calibri" w:eastAsia="Calibri" w:hAnsi="Calibri"/>
          <w:b/>
          <w:bCs/>
          <w:color w:val="4A6E50"/>
          <w:sz w:val="24"/>
          <w:szCs w:val="24"/>
        </w:rPr>
        <w:t xml:space="preserve">Status: Approved — Ready for Implementation</w:t>
      </w:r>
    </w:p>
    <w:p>
      <w:r>
        <w:br w:type="page"/>
      </w:r>
    </w:p>
    <w:p>
      <w:pPr>
        <w:pBdr>
          <w:bottom w:val="single" w:color="4A6E50" w:sz="12" w:space="4"/>
        </w:pBdr>
        <w:spacing w:after="200" w:before="360"/>
      </w:pPr>
      <w:r>
        <w:rPr>
          <w:rFonts w:ascii="Calibri" w:cs="Calibri" w:eastAsia="Calibri" w:hAnsi="Calibri"/>
          <w:b/>
          <w:bCs/>
          <w:color w:val="4A6E50"/>
          <w:sz w:val="40"/>
          <w:szCs w:val="40"/>
        </w:rPr>
        <w:t xml:space="preserve">1.  Executive Summary</w:t>
      </w:r>
    </w:p>
    <w:p>
      <w:pPr>
        <w:spacing w:after="120" w:before="0" w:line="320"/>
        <w:jc w:val="left"/>
      </w:pPr>
      <w:r>
        <w:rPr>
          <w:rFonts w:ascii="Calibri" w:cs="Calibri" w:eastAsia="Calibri" w:hAnsi="Calibri"/>
          <w:b w:val="false"/>
          <w:bCs w:val="false"/>
          <w:i w:val="false"/>
          <w:iCs w:val="false"/>
          <w:color w:val="1F1F1F"/>
          <w:sz w:val="24"/>
          <w:szCs w:val="24"/>
        </w:rPr>
        <w:t xml:space="preserve">The DealDesk underwriting platform's zoning analysis layer is being rebuilt from the ground up. The current implementation produces shallow narrative output, fails silently when zoning data is incomplete, and provides no integration between zoning conclusions and downstream financial modeling. This document records the architectural plan agreed on April 27, 2026, and the complete schema specification for Session 1, the foundational session of a five-session build.</w:t>
      </w:r>
    </w:p>
    <w:p>
      <w:pPr>
        <w:spacing w:after="120" w:before="0" w:line="320"/>
        <w:jc w:val="left"/>
      </w:pPr>
      <w:r>
        <w:rPr>
          <w:rFonts w:ascii="Calibri" w:cs="Calibri" w:eastAsia="Calibri" w:hAnsi="Calibri"/>
          <w:b w:val="false"/>
          <w:bCs w:val="false"/>
          <w:i w:val="false"/>
          <w:iCs w:val="false"/>
          <w:color w:val="1F1F1F"/>
          <w:sz w:val="24"/>
          <w:szCs w:val="24"/>
        </w:rPr>
        <w:t xml:space="preserve">The scope of this overhaul is substantial. It addresses three goals concurrently: reliability (the analysis must run successfully every time, with graceful fallbacks when data is missing), depth (the analysis must produce institutional-grade conformity assessment, multi-scenario evaluation, and entitlement pathway analysis), and integration (zoning scenarios must drive separate Excel financial models per scenario, with deterministic file naming and one combined PDF report).</w:t>
      </w:r>
    </w:p>
    <w:p>
      <w:pPr>
        <w:spacing w:after="120" w:before="0" w:line="320"/>
        <w:jc w:val="left"/>
      </w:pPr>
      <w:r>
        <w:rPr>
          <w:rFonts w:ascii="Calibri" w:cs="Calibri" w:eastAsia="Calibri" w:hAnsi="Calibri"/>
          <w:b w:val="false"/>
          <w:bCs w:val="false"/>
          <w:i w:val="false"/>
          <w:iCs w:val="false"/>
          <w:color w:val="1F1F1F"/>
          <w:sz w:val="24"/>
          <w:szCs w:val="24"/>
        </w:rPr>
        <w:t xml:space="preserve">The build is sequenced across five Claude Code sessions, each focused on a single architectural layer. Session 1 establishes the schema. Session 2 designs and approves three new prompts. Session 3 wires those prompts into the live pipeline. Session 4 fans out the financial model per scenario. Session 5 rebuilds the report rendering.</w:t>
      </w:r>
    </w:p>
    <w:p>
      <w:pPr>
        <w:spacing w:after="120" w:before="0" w:line="320"/>
        <w:jc w:val="left"/>
      </w:pPr>
      <w:r>
        <w:rPr>
          <w:rFonts w:ascii="Calibri" w:cs="Calibri" w:eastAsia="Calibri" w:hAnsi="Calibri"/>
          <w:b w:val="false"/>
          <w:bCs w:val="false"/>
          <w:i w:val="false"/>
          <w:iCs w:val="false"/>
          <w:color w:val="1F1F1F"/>
          <w:sz w:val="24"/>
          <w:szCs w:val="24"/>
        </w:rPr>
        <w:t xml:space="preserve">This document contains all design decisions locked during the planning conversation, the full Session 1 schema specification ready for Claude Code implementation, the gate criteria that define when each session is complete, and the operational protocol for maintaining continuity across multiple Claude instances over multiple weeks.</w:t>
      </w:r>
    </w:p>
    <w:p>
      <w:pPr>
        <w:spacing w:after="120" w:before="12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E50" w:sz="4"/>
              <w:left w:val="single" w:color="4A6E50" w:sz="4"/>
              <w:bottom w:val="single" w:color="4A6E50" w:sz="4"/>
              <w:right w:val="single" w:color="4A6E50" w:sz="4"/>
            </w:tcBorders>
            <w:shd w:fill="F5EFE4" w:color="auto" w:val="clear"/>
            <w:tcMar>
              <w:top w:type="dxa" w:w="200"/>
              <w:left w:type="dxa" w:w="240"/>
              <w:bottom w:type="dxa" w:w="200"/>
              <w:right w:type="dxa" w:w="240"/>
            </w:tcMar>
          </w:tcPr>
          <w:p>
            <w:pPr>
              <w:spacing w:after="80" w:before="0"/>
            </w:pPr>
            <w:r>
              <w:rPr>
                <w:rFonts w:ascii="Calibri" w:cs="Calibri" w:eastAsia="Calibri" w:hAnsi="Calibri"/>
                <w:b/>
                <w:bCs/>
                <w:color w:val="4A6E50"/>
                <w:sz w:val="24"/>
                <w:szCs w:val="24"/>
              </w:rPr>
              <w:t xml:space="preserve">Status as of April 27, 2026</w:t>
            </w:r>
          </w:p>
          <w:p>
            <w:pPr>
              <w:spacing w:after="0" w:before="0" w:line="320"/>
            </w:pPr>
            <w:r>
              <w:rPr>
                <w:rFonts w:ascii="Calibri" w:cs="Calibri" w:eastAsia="Calibri" w:hAnsi="Calibri"/>
                <w:color w:val="1F1F1F"/>
                <w:sz w:val="24"/>
                <w:szCs w:val="24"/>
              </w:rPr>
              <w:t xml:space="preserve">Session 1 is ready to begin. The schema specification in Section 7 of this document is precise enough that Claude Code can implement it directly without ambiguity. Per project standing rules, Session 1 ships before any prompt design work begins, and Session 2 prompts must be reviewed and approved before any code in Sessions 3-5 is written.</w:t>
            </w:r>
          </w:p>
        </w:tc>
      </w:tr>
    </w:tbl>
    <w:p>
      <w:r>
        <w:br w:type="page"/>
      </w:r>
    </w:p>
    <w:p>
      <w:pPr>
        <w:pBdr>
          <w:bottom w:val="single" w:color="4A6E50" w:sz="12" w:space="4"/>
        </w:pBdr>
        <w:spacing w:after="200" w:before="360"/>
      </w:pPr>
      <w:r>
        <w:rPr>
          <w:rFonts w:ascii="Calibri" w:cs="Calibri" w:eastAsia="Calibri" w:hAnsi="Calibri"/>
          <w:b/>
          <w:bCs/>
          <w:color w:val="4A6E50"/>
          <w:sz w:val="40"/>
          <w:szCs w:val="40"/>
        </w:rPr>
        <w:t xml:space="preserve">2.  Current State Assessment</w:t>
      </w:r>
    </w:p>
    <w:p>
      <w:pPr>
        <w:spacing w:after="120" w:before="0" w:line="320"/>
        <w:jc w:val="left"/>
      </w:pPr>
      <w:r>
        <w:rPr>
          <w:rFonts w:ascii="Calibri" w:cs="Calibri" w:eastAsia="Calibri" w:hAnsi="Calibri"/>
          <w:b w:val="false"/>
          <w:bCs w:val="false"/>
          <w:i w:val="false"/>
          <w:iCs w:val="false"/>
          <w:color w:val="1F1F1F"/>
          <w:sz w:val="24"/>
          <w:szCs w:val="24"/>
        </w:rPr>
        <w:t xml:space="preserve">Before designing the new system, we audited the existing zoning analysis pipeline against the most recent production output (the underwriting report for 967-73 N. 9th Street, Philadelphia, generated April 25, 2026). Five problems were identified.</w:t>
      </w:r>
    </w:p>
    <w:p>
      <w:pPr>
        <w:spacing w:after="140" w:before="280"/>
      </w:pPr>
      <w:r>
        <w:rPr>
          <w:rFonts w:ascii="Calibri" w:cs="Calibri" w:eastAsia="Calibri" w:hAnsi="Calibri"/>
          <w:b/>
          <w:bCs/>
          <w:color w:val="1F1F1F"/>
          <w:sz w:val="32"/>
          <w:szCs w:val="32"/>
        </w:rPr>
        <w:t xml:space="preserve">2.1  The HBU narrative did not render</w:t>
      </w:r>
    </w:p>
    <w:p>
      <w:pPr>
        <w:spacing w:after="120" w:before="0" w:line="320"/>
        <w:jc w:val="left"/>
      </w:pPr>
      <w:r>
        <w:rPr>
          <w:rFonts w:ascii="Calibri" w:cs="Calibri" w:eastAsia="Calibri" w:hAnsi="Calibri"/>
          <w:b w:val="false"/>
          <w:bCs w:val="false"/>
          <w:i w:val="false"/>
          <w:iCs w:val="false"/>
          <w:color w:val="1F1F1F"/>
          <w:sz w:val="24"/>
          <w:szCs w:val="24"/>
        </w:rPr>
        <w:t xml:space="preserve">Section 06 of the production PDF ends with the literal text: "Highest and best use analysis is pending zoning verification. This section will be completed once the municipal zoning code scrape and buildable-capacity analysis return data for the subject parcel." This is a placeholder. The third zoning prompt either never executed or returned an empty response. The analytical layer of the system was not just shallow — it was absent on the very deal we examined.</w:t>
      </w:r>
    </w:p>
    <w:p>
      <w:pPr>
        <w:spacing w:after="140" w:before="280"/>
      </w:pPr>
      <w:r>
        <w:rPr>
          <w:rFonts w:ascii="Calibri" w:cs="Calibri" w:eastAsia="Calibri" w:hAnsi="Calibri"/>
          <w:b/>
          <w:bCs/>
          <w:color w:val="1F1F1F"/>
          <w:sz w:val="32"/>
          <w:szCs w:val="32"/>
        </w:rPr>
        <w:t xml:space="preserve">2.2  The prompt is shallow even when it works</w:t>
      </w:r>
    </w:p>
    <w:p>
      <w:pPr>
        <w:spacing w:after="120" w:before="0" w:line="320"/>
        <w:jc w:val="left"/>
      </w:pPr>
      <w:r>
        <w:rPr>
          <w:rFonts w:ascii="Calibri" w:cs="Calibri" w:eastAsia="Calibri" w:hAnsi="Calibri"/>
          <w:b w:val="false"/>
          <w:bCs w:val="false"/>
          <w:i w:val="false"/>
          <w:iCs w:val="false"/>
          <w:color w:val="1F1F1F"/>
          <w:sz w:val="24"/>
          <w:szCs w:val="24"/>
        </w:rPr>
        <w:t xml:space="preserve">The current single Prompt 3C is eight lines long, requests a three-to-four paragraph narrative in MAI appraisal language, and has no structured fields for conformity assessment, development scenarios, entitlement pathways, or risk-of-denial analysis. Even on a successful execution, the output is generic prose rather than analytical synthesis.</w:t>
      </w:r>
    </w:p>
    <w:p>
      <w:pPr>
        <w:spacing w:after="140" w:before="280"/>
      </w:pPr>
      <w:r>
        <w:rPr>
          <w:rFonts w:ascii="Calibri" w:cs="Calibri" w:eastAsia="Calibri" w:hAnsi="Calibri"/>
          <w:b/>
          <w:bCs/>
          <w:color w:val="1F1F1F"/>
          <w:sz w:val="32"/>
          <w:szCs w:val="32"/>
        </w:rPr>
        <w:t xml:space="preserve">2.3  The schema cannot hold richer analysis</w:t>
      </w:r>
    </w:p>
    <w:p>
      <w:pPr>
        <w:spacing w:after="120" w:before="0" w:line="320"/>
        <w:jc w:val="left"/>
      </w:pPr>
      <w:r>
        <w:rPr>
          <w:rFonts w:ascii="Calibri" w:cs="Calibri" w:eastAsia="Calibri" w:hAnsi="Calibri"/>
          <w:b w:val="false"/>
          <w:bCs w:val="false"/>
          <w:i w:val="false"/>
          <w:iCs w:val="false"/>
          <w:color w:val="1F1F1F"/>
          <w:sz w:val="24"/>
          <w:szCs w:val="24"/>
        </w:rPr>
        <w:t xml:space="preserve">The existing ZoningData class in models.py has fields for zoning code, district, dimensional standards, permitted uses, buildable capacity, and a single HBU narrative blob. It has no structured fields for conformity status, legal nonconforming flags, use flexibility scoring, overlay impact assessment, scenario lists, or entitlement pathway analysis. Without schema support, richer prompt outputs would have nowhere to land.</w:t>
      </w:r>
    </w:p>
    <w:p>
      <w:pPr>
        <w:spacing w:after="140" w:before="280"/>
      </w:pPr>
      <w:r>
        <w:rPr>
          <w:rFonts w:ascii="Calibri" w:cs="Calibri" w:eastAsia="Calibri" w:hAnsi="Calibri"/>
          <w:b/>
          <w:bCs/>
          <w:color w:val="1F1F1F"/>
          <w:sz w:val="32"/>
          <w:szCs w:val="32"/>
        </w:rPr>
        <w:t xml:space="preserve">2.4  Buildable capacity contradicts the underwriting</w:t>
      </w:r>
    </w:p>
    <w:p>
      <w:pPr>
        <w:spacing w:after="120" w:before="0" w:line="320"/>
        <w:jc w:val="left"/>
      </w:pPr>
      <w:r>
        <w:rPr>
          <w:rFonts w:ascii="Calibri" w:cs="Calibri" w:eastAsia="Calibri" w:hAnsi="Calibri"/>
          <w:b w:val="false"/>
          <w:bCs w:val="false"/>
          <w:i w:val="false"/>
          <w:iCs w:val="false"/>
          <w:color w:val="1F1F1F"/>
          <w:sz w:val="24"/>
          <w:szCs w:val="24"/>
        </w:rPr>
        <w:t xml:space="preserve">Section 06 of the 967-73 N. 9th Street report calculates a by-right cap of 6 units. Section 12 of the same report underwrites 21 units. The pipeline produces no warning, no flag, and no reconciliation. A real analyst's first observation on this deal would be that the entire underwriting thesis depends on grandfathered nonconforming density status surviving renovation, which requires confirmation from Philadelphia L&amp;I. The system did not surface this.</w:t>
      </w:r>
    </w:p>
    <w:p>
      <w:pPr>
        <w:spacing w:after="140" w:before="280"/>
      </w:pPr>
      <w:r>
        <w:rPr>
          <w:rFonts w:ascii="Calibri" w:cs="Calibri" w:eastAsia="Calibri" w:hAnsi="Calibri"/>
          <w:b/>
          <w:bCs/>
          <w:color w:val="1F1F1F"/>
          <w:sz w:val="32"/>
          <w:szCs w:val="32"/>
        </w:rPr>
        <w:t xml:space="preserve">2.5  Zoning data flows nowhere downstream</w:t>
      </w:r>
    </w:p>
    <w:p>
      <w:pPr>
        <w:spacing w:after="120" w:before="0" w:line="320"/>
        <w:jc w:val="left"/>
      </w:pPr>
      <w:r>
        <w:rPr>
          <w:rFonts w:ascii="Calibri" w:cs="Calibri" w:eastAsia="Calibri" w:hAnsi="Calibri"/>
          <w:b w:val="false"/>
          <w:bCs w:val="false"/>
          <w:i w:val="false"/>
          <w:iCs w:val="false"/>
          <w:color w:val="1F1F1F"/>
          <w:sz w:val="24"/>
          <w:szCs w:val="24"/>
        </w:rPr>
        <w:t xml:space="preserve">The buildable capacity result, the permitted uses, the dimensional standards — none of these constrain the financial pipeline. The financial model accepts the user's submitted unit count at face value. The zoning analysis is decorative rather than load-bearing.</w:t>
      </w:r>
    </w:p>
    <w:p>
      <w:r>
        <w:br w:type="page"/>
      </w:r>
    </w:p>
    <w:p>
      <w:pPr>
        <w:pBdr>
          <w:bottom w:val="single" w:color="4A6E50" w:sz="12" w:space="4"/>
        </w:pBdr>
        <w:spacing w:after="200" w:before="360"/>
      </w:pPr>
      <w:r>
        <w:rPr>
          <w:rFonts w:ascii="Calibri" w:cs="Calibri" w:eastAsia="Calibri" w:hAnsi="Calibri"/>
          <w:b/>
          <w:bCs/>
          <w:color w:val="4A6E50"/>
          <w:sz w:val="40"/>
          <w:szCs w:val="40"/>
        </w:rPr>
        <w:t xml:space="preserve">3.  Locked Design Decisions</w:t>
      </w:r>
    </w:p>
    <w:p>
      <w:pPr>
        <w:spacing w:after="120" w:before="0" w:line="320"/>
        <w:jc w:val="left"/>
      </w:pPr>
      <w:r>
        <w:rPr>
          <w:rFonts w:ascii="Calibri" w:cs="Calibri" w:eastAsia="Calibri" w:hAnsi="Calibri"/>
          <w:b w:val="false"/>
          <w:bCs w:val="false"/>
          <w:i w:val="false"/>
          <w:iCs w:val="false"/>
          <w:color w:val="1F1F1F"/>
          <w:sz w:val="24"/>
          <w:szCs w:val="24"/>
        </w:rPr>
        <w:t xml:space="preserve">Ten design decisions were locked during the April 27 planning conversation. These are not open for revisiting in any subsequent session unless explicitly reopened by Mike. Each decision is recorded with its identifier, its substance, and the rationale that drove it.</w:t>
      </w:r>
    </w:p>
    <w:p>
      <w:pPr>
        <w:spacing w:after="140" w:before="280"/>
      </w:pPr>
      <w:r>
        <w:rPr>
          <w:rFonts w:ascii="Calibri" w:cs="Calibri" w:eastAsia="Calibri" w:hAnsi="Calibri"/>
          <w:b/>
          <w:bCs/>
          <w:color w:val="1F1F1F"/>
          <w:sz w:val="32"/>
          <w:szCs w:val="32"/>
        </w:rPr>
        <w:t xml:space="preserve">D1.  Scenario Definition</w:t>
      </w:r>
    </w:p>
    <w:p>
      <w:pPr>
        <w:spacing w:after="120" w:before="0" w:line="320"/>
        <w:jc w:val="left"/>
      </w:pPr>
      <w:r>
        <w:rPr>
          <w:rFonts w:ascii="Calibri" w:cs="Calibri" w:eastAsia="Calibri" w:hAnsi="Calibri"/>
          <w:b w:val="false"/>
          <w:bCs w:val="false"/>
          <w:i w:val="false"/>
          <w:iCs w:val="false"/>
          <w:color w:val="1F1F1F"/>
          <w:sz w:val="24"/>
          <w:szCs w:val="24"/>
        </w:rPr>
        <w:t xml:space="preserve">A scenario is any meaningfully different business plan. This includes different physical configurations, different zoning pathways, and same-physical-config but different operating strategies. A scenario is not a sensitivity. Rent growth, cap rate, vacancy, and expense growth assumptions stay inside each scenario's existing Sensitivity tab. This decision broadens the prior plan's narrower definition and places more weight on the AI prompt's judgment about what constitutes a materially different plan versus a marginal variation.</w:t>
      </w:r>
    </w:p>
    <w:p>
      <w:pPr>
        <w:spacing w:after="140" w:before="280"/>
      </w:pPr>
      <w:r>
        <w:rPr>
          <w:rFonts w:ascii="Calibri" w:cs="Calibri" w:eastAsia="Calibri" w:hAnsi="Calibri"/>
          <w:b/>
          <w:bCs/>
          <w:color w:val="1F1F1F"/>
          <w:sz w:val="32"/>
          <w:szCs w:val="32"/>
        </w:rPr>
        <w:t xml:space="preserve">D2.  Maximum Three Scenarios Per Deal</w:t>
      </w:r>
    </w:p>
    <w:p>
      <w:pPr>
        <w:spacing w:after="120" w:before="0" w:line="320"/>
        <w:jc w:val="left"/>
      </w:pPr>
      <w:r>
        <w:rPr>
          <w:rFonts w:ascii="Calibri" w:cs="Calibri" w:eastAsia="Calibri" w:hAnsi="Calibri"/>
          <w:b w:val="false"/>
          <w:bCs w:val="false"/>
          <w:i w:val="false"/>
          <w:iCs w:val="false"/>
          <w:color w:val="1F1F1F"/>
          <w:sz w:val="24"/>
          <w:szCs w:val="24"/>
        </w:rPr>
        <w:t xml:space="preserve">Hard cap of three. Scenarios ranked by IRR potential. When four or more genuinely different paths exist, the prompt must rank the top three and explain in the cross-scenario synthesis why others were excluded. This matches how investment committees actually think — preferred plus two alternatives — and keeps the report readable.</w:t>
      </w:r>
    </w:p>
    <w:p>
      <w:pPr>
        <w:spacing w:after="140" w:before="280"/>
      </w:pPr>
      <w:r>
        <w:rPr>
          <w:rFonts w:ascii="Calibri" w:cs="Calibri" w:eastAsia="Calibri" w:hAnsi="Calibri"/>
          <w:b/>
          <w:bCs/>
          <w:color w:val="1F1F1F"/>
          <w:sz w:val="32"/>
          <w:szCs w:val="32"/>
        </w:rPr>
        <w:t xml:space="preserve">D3.  Always Generate All Scenarios as Files</w:t>
      </w:r>
    </w:p>
    <w:p>
      <w:pPr>
        <w:spacing w:after="120" w:before="0" w:line="320"/>
        <w:jc w:val="left"/>
      </w:pPr>
      <w:r>
        <w:rPr>
          <w:rFonts w:ascii="Calibri" w:cs="Calibri" w:eastAsia="Calibri" w:hAnsi="Calibri"/>
          <w:b w:val="false"/>
          <w:bCs w:val="false"/>
          <w:i w:val="false"/>
          <w:iCs w:val="false"/>
          <w:color w:val="1F1F1F"/>
          <w:sz w:val="24"/>
          <w:szCs w:val="24"/>
        </w:rPr>
        <w:t xml:space="preserve">If the system identifies three scenarios, the system produces three Excel files plus one PDF. No user toggle. No conditional generation. This decision prioritizes consistency over flexibility and trusts the prompt's judgment on scenario count.</w:t>
      </w:r>
    </w:p>
    <w:p>
      <w:pPr>
        <w:spacing w:after="140" w:before="280"/>
      </w:pPr>
      <w:r>
        <w:rPr>
          <w:rFonts w:ascii="Calibri" w:cs="Calibri" w:eastAsia="Calibri" w:hAnsi="Calibri"/>
          <w:b/>
          <w:bCs/>
          <w:color w:val="1F1F1F"/>
          <w:sz w:val="32"/>
          <w:szCs w:val="32"/>
        </w:rPr>
        <w:t xml:space="preserve">D4.  Conformity Assessment Confidence Gating</w:t>
      </w:r>
    </w:p>
    <w:p>
      <w:pPr>
        <w:spacing w:after="120" w:before="0" w:line="320"/>
        <w:jc w:val="left"/>
      </w:pPr>
      <w:r>
        <w:rPr>
          <w:rFonts w:ascii="Calibri" w:cs="Calibri" w:eastAsia="Calibri" w:hAnsi="Calibri"/>
          <w:b w:val="false"/>
          <w:bCs w:val="false"/>
          <w:i w:val="false"/>
          <w:iCs w:val="false"/>
          <w:color w:val="1F1F1F"/>
          <w:sz w:val="24"/>
          <w:szCs w:val="24"/>
        </w:rPr>
        <w:t xml:space="preserve">Conformity analysis runs only when zoning data clears a defined confidence threshold: zoning code source-verified, three or more permitted uses listed, four or more dimensional standards populated. If any criterion fails, the system falls back to CONFORMITY_INDETERMINATE status with explicit explanation. The conformity callout remains prominent on the report regardless — it is never hidden or downgraded.</w:t>
      </w:r>
    </w:p>
    <w:p>
      <w:pPr>
        <w:spacing w:after="140" w:before="280"/>
      </w:pPr>
      <w:r>
        <w:rPr>
          <w:rFonts w:ascii="Calibri" w:cs="Calibri" w:eastAsia="Calibri" w:hAnsi="Calibri"/>
          <w:b/>
          <w:bCs/>
          <w:color w:val="1F1F1F"/>
          <w:sz w:val="32"/>
          <w:szCs w:val="32"/>
        </w:rPr>
        <w:t xml:space="preserve">D5.  No Frontend Changes In This Build</w:t>
      </w:r>
    </w:p>
    <w:p>
      <w:pPr>
        <w:spacing w:after="120" w:before="0" w:line="320"/>
        <w:jc w:val="left"/>
      </w:pPr>
      <w:r>
        <w:rPr>
          <w:rFonts w:ascii="Calibri" w:cs="Calibri" w:eastAsia="Calibri" w:hAnsi="Calibri"/>
          <w:b w:val="false"/>
          <w:bCs w:val="false"/>
          <w:i w:val="false"/>
          <w:iCs w:val="false"/>
          <w:color w:val="1F1F1F"/>
          <w:sz w:val="24"/>
          <w:szCs w:val="24"/>
        </w:rPr>
        <w:t xml:space="preserve">Outputs land in a deal-specific output folder and are accessed manually. Multi-scenario download UI is deferred to a separate future phase. This unblocks the entire backend build.</w:t>
      </w:r>
    </w:p>
    <w:p>
      <w:pPr>
        <w:spacing w:after="140" w:before="280"/>
      </w:pPr>
      <w:r>
        <w:rPr>
          <w:rFonts w:ascii="Calibri" w:cs="Calibri" w:eastAsia="Calibri" w:hAnsi="Calibri"/>
          <w:b/>
          <w:bCs/>
          <w:color w:val="1F1F1F"/>
          <w:sz w:val="32"/>
          <w:szCs w:val="32"/>
        </w:rPr>
        <w:t xml:space="preserve">D6.  Schema Coexistence</w:t>
      </w:r>
    </w:p>
    <w:p>
      <w:pPr>
        <w:spacing w:after="120" w:before="0" w:line="320"/>
        <w:jc w:val="left"/>
      </w:pPr>
      <w:r>
        <w:rPr>
          <w:rFonts w:ascii="Calibri" w:cs="Calibri" w:eastAsia="Calibri" w:hAnsi="Calibri"/>
          <w:b w:val="false"/>
          <w:bCs w:val="false"/>
          <w:i w:val="false"/>
          <w:iCs w:val="false"/>
          <w:color w:val="1F1F1F"/>
          <w:sz w:val="24"/>
          <w:szCs w:val="24"/>
        </w:rPr>
        <w:t xml:space="preserve">Both deal.scenarios and deal.financial_outputs are populated. The financial fan-out writes to scenarios first, then mirrors the preferred scenario's outputs back to the legacy field via a single utility function. This preserves backward compatibility while making scenarios the source of truth going forward.</w:t>
      </w:r>
    </w:p>
    <w:p>
      <w:pPr>
        <w:spacing w:after="140" w:before="280"/>
      </w:pPr>
      <w:r>
        <w:rPr>
          <w:rFonts w:ascii="Calibri" w:cs="Calibri" w:eastAsia="Calibri" w:hAnsi="Calibri"/>
          <w:b/>
          <w:bCs/>
          <w:color w:val="1F1F1F"/>
          <w:sz w:val="32"/>
          <w:szCs w:val="32"/>
        </w:rPr>
        <w:t xml:space="preserve">D7.  Excel Filename Format</w:t>
      </w:r>
    </w:p>
    <w:p>
      <w:pPr>
        <w:spacing w:after="120" w:before="0" w:line="320"/>
        <w:jc w:val="left"/>
      </w:pPr>
      <w:r>
        <w:rPr>
          <w:rFonts w:ascii="Calibri" w:cs="Calibri" w:eastAsia="Calibri" w:hAnsi="Calibri"/>
          <w:b w:val="false"/>
          <w:bCs w:val="false"/>
          <w:i w:val="false"/>
          <w:iCs w:val="false"/>
          <w:color w:val="1F1F1F"/>
          <w:sz w:val="24"/>
          <w:szCs w:val="24"/>
        </w:rPr>
        <w:t xml:space="preserve">Short format with rank prefix and snake_case descriptor. Example for 967-73 N. 9th Street: 967-73_N_9th_St_S1_AsBuilt_Reno_21u.xlsx. The descriptor is generated by the AI prompt, validated against a regex pattern, and capped at thirty characters. The format communicates the scenario's essence at a glance without requiring file inspection.</w:t>
      </w:r>
    </w:p>
    <w:p>
      <w:pPr>
        <w:spacing w:after="140" w:before="280"/>
      </w:pPr>
      <w:r>
        <w:rPr>
          <w:rFonts w:ascii="Calibri" w:cs="Calibri" w:eastAsia="Calibri" w:hAnsi="Calibri"/>
          <w:b/>
          <w:bCs/>
          <w:color w:val="1F1F1F"/>
          <w:sz w:val="32"/>
          <w:szCs w:val="32"/>
        </w:rPr>
        <w:t xml:space="preserve">D8.  New Layout Renders Even On Single-Scenario Deals</w:t>
      </w:r>
    </w:p>
    <w:p>
      <w:pPr>
        <w:spacing w:after="120" w:before="0" w:line="320"/>
        <w:jc w:val="left"/>
      </w:pPr>
      <w:r>
        <w:rPr>
          <w:rFonts w:ascii="Calibri" w:cs="Calibri" w:eastAsia="Calibri" w:hAnsi="Calibri"/>
          <w:b w:val="false"/>
          <w:bCs w:val="false"/>
          <w:i w:val="false"/>
          <w:iCs w:val="false"/>
          <w:color w:val="1F1F1F"/>
          <w:sz w:val="24"/>
          <w:szCs w:val="24"/>
        </w:rPr>
        <w:t xml:space="preserve">Even when only one scenario is identified, the report renders the full new layout — comparison table with one row, one detail block, and a one-paragraph cross-scenario rationale. This decision favors visual consistency across all reports over conditional rendering paths.</w:t>
      </w:r>
    </w:p>
    <w:p>
      <w:pPr>
        <w:spacing w:after="140" w:before="280"/>
      </w:pPr>
      <w:r>
        <w:rPr>
          <w:rFonts w:ascii="Calibri" w:cs="Calibri" w:eastAsia="Calibri" w:hAnsi="Calibri"/>
          <w:b/>
          <w:bCs/>
          <w:color w:val="1F1F1F"/>
          <w:sz w:val="32"/>
          <w:szCs w:val="32"/>
        </w:rPr>
        <w:t xml:space="preserve">D9.  Strictly Sequential Prompt Execution</w:t>
      </w:r>
    </w:p>
    <w:p>
      <w:pPr>
        <w:spacing w:after="120" w:before="0" w:line="320"/>
        <w:jc w:val="left"/>
      </w:pPr>
      <w:r>
        <w:rPr>
          <w:rFonts w:ascii="Calibri" w:cs="Calibri" w:eastAsia="Calibri" w:hAnsi="Calibri"/>
          <w:b w:val="false"/>
          <w:bCs w:val="false"/>
          <w:i w:val="false"/>
          <w:iCs w:val="false"/>
          <w:color w:val="1F1F1F"/>
          <w:sz w:val="24"/>
          <w:szCs w:val="24"/>
        </w:rPr>
        <w:t xml:space="preserve">The three new prompts run in order: conformity assessment, then scenario generation, then HBU synthesis. Each consumes the prior output. Parallel execution is a Phase 2 optimization once prompts are stable.</w:t>
      </w:r>
    </w:p>
    <w:p>
      <w:pPr>
        <w:spacing w:after="140" w:before="280"/>
      </w:pPr>
      <w:r>
        <w:rPr>
          <w:rFonts w:ascii="Calibri" w:cs="Calibri" w:eastAsia="Calibri" w:hAnsi="Calibri"/>
          <w:b/>
          <w:bCs/>
          <w:color w:val="1F1F1F"/>
          <w:sz w:val="32"/>
          <w:szCs w:val="32"/>
        </w:rPr>
        <w:t xml:space="preserve">D10.  Five-Session Phasing</w:t>
      </w:r>
    </w:p>
    <w:p>
      <w:pPr>
        <w:spacing w:after="120" w:before="0" w:line="320"/>
        <w:jc w:val="left"/>
      </w:pPr>
      <w:r>
        <w:rPr>
          <w:rFonts w:ascii="Calibri" w:cs="Calibri" w:eastAsia="Calibri" w:hAnsi="Calibri"/>
          <w:b w:val="false"/>
          <w:bCs w:val="false"/>
          <w:i w:val="false"/>
          <w:iCs w:val="false"/>
          <w:color w:val="1F1F1F"/>
          <w:sz w:val="24"/>
          <w:szCs w:val="24"/>
        </w:rPr>
        <w:t xml:space="preserve">One Claude Code session per architectural layer with explicit gate review between each. No combining sessions, no skipping gates.</w:t>
      </w:r>
    </w:p>
    <w:p>
      <w:r>
        <w:br w:type="page"/>
      </w:r>
    </w:p>
    <w:p>
      <w:pPr>
        <w:pBdr>
          <w:bottom w:val="single" w:color="4A6E50" w:sz="12" w:space="4"/>
        </w:pBdr>
        <w:spacing w:after="200" w:before="360"/>
      </w:pPr>
      <w:r>
        <w:rPr>
          <w:rFonts w:ascii="Calibri" w:cs="Calibri" w:eastAsia="Calibri" w:hAnsi="Calibri"/>
          <w:b/>
          <w:bCs/>
          <w:color w:val="4A6E50"/>
          <w:sz w:val="40"/>
          <w:szCs w:val="40"/>
        </w:rPr>
        <w:t xml:space="preserve">4.  Target Architecture</w:t>
      </w:r>
    </w:p>
    <w:p>
      <w:pPr>
        <w:spacing w:after="120" w:before="0" w:line="320"/>
        <w:jc w:val="left"/>
      </w:pPr>
      <w:r>
        <w:rPr>
          <w:rFonts w:ascii="Calibri" w:cs="Calibri" w:eastAsia="Calibri" w:hAnsi="Calibri"/>
          <w:b w:val="false"/>
          <w:bCs w:val="false"/>
          <w:i w:val="false"/>
          <w:iCs w:val="false"/>
          <w:color w:val="1F1F1F"/>
          <w:sz w:val="24"/>
          <w:szCs w:val="24"/>
        </w:rPr>
        <w:t xml:space="preserve">The new zoning analysis pipeline consists of five layers, each addressing one concern. The layers are built bottom-up by dependency. Each layer is testable in isolation before being wired into the next.</w:t>
      </w:r>
    </w:p>
    <w:p>
      <w:pPr>
        <w:spacing w:after="140" w:before="280"/>
      </w:pPr>
      <w:r>
        <w:rPr>
          <w:rFonts w:ascii="Calibri" w:cs="Calibri" w:eastAsia="Calibri" w:hAnsi="Calibri"/>
          <w:b/>
          <w:bCs/>
          <w:color w:val="1F1F1F"/>
          <w:sz w:val="32"/>
          <w:szCs w:val="32"/>
        </w:rPr>
        <w:t xml:space="preserve">4.1  Layer 1 — Schema (models.py)</w:t>
      </w:r>
    </w:p>
    <w:p>
      <w:pPr>
        <w:spacing w:after="120" w:before="0" w:line="320"/>
        <w:jc w:val="left"/>
      </w:pPr>
      <w:r>
        <w:rPr>
          <w:rFonts w:ascii="Calibri" w:cs="Calibri" w:eastAsia="Calibri" w:hAnsi="Calibri"/>
          <w:b w:val="false"/>
          <w:bCs w:val="false"/>
          <w:i w:val="false"/>
          <w:iCs w:val="false"/>
          <w:color w:val="1F1F1F"/>
          <w:sz w:val="24"/>
          <w:szCs w:val="24"/>
        </w:rPr>
        <w:t xml:space="preserve">Three new top-level Pydantic models on DealData: ConformityAssessment captures the headline conformity classification with status, confidence, nonconformity details, and grandfathering posture. DevelopmentScenario captures each of the up-to-three business plans with physical configuration, zoning pathway, and per-scenario assumption deltas. ZoningExtensions captures parcel-wide layers like use flexibility scoring, overlay impacts, development upside, and the cross-scenario recommendation.</w:t>
      </w:r>
    </w:p>
    <w:p>
      <w:pPr>
        <w:spacing w:after="140" w:before="280"/>
      </w:pPr>
      <w:r>
        <w:rPr>
          <w:rFonts w:ascii="Calibri" w:cs="Calibri" w:eastAsia="Calibri" w:hAnsi="Calibri"/>
          <w:b/>
          <w:bCs/>
          <w:color w:val="1F1F1F"/>
          <w:sz w:val="32"/>
          <w:szCs w:val="32"/>
        </w:rPr>
        <w:t xml:space="preserve">4.2  Layer 2 — Prompts (market.py)</w:t>
      </w:r>
    </w:p>
    <w:p>
      <w:pPr>
        <w:spacing w:after="120" w:before="0" w:line="320"/>
        <w:jc w:val="left"/>
      </w:pPr>
      <w:r>
        <w:rPr>
          <w:rFonts w:ascii="Calibri" w:cs="Calibri" w:eastAsia="Calibri" w:hAnsi="Calibri"/>
          <w:b w:val="false"/>
          <w:bCs w:val="false"/>
          <w:i w:val="false"/>
          <w:iCs w:val="false"/>
          <w:color w:val="1F1F1F"/>
          <w:sz w:val="24"/>
          <w:szCs w:val="24"/>
        </w:rPr>
        <w:t xml:space="preserve">The current single Prompt 3C is decomposed into three focused, testable prompts. Prompt 3C-CONF performs conformity assessment and is gated by the confidence check. Prompt 3C-SCEN generates one to three scenarios and ranks them. Prompt 3C-HBU synthesizes across scenarios to produce the cross-scenario recommendation. Each prompt has a single job, a structured output schema, and isolated retry logic. This decomposition is the most important reliability change in the entire build.</w:t>
      </w:r>
    </w:p>
    <w:p>
      <w:pPr>
        <w:spacing w:after="140" w:before="280"/>
      </w:pPr>
      <w:r>
        <w:rPr>
          <w:rFonts w:ascii="Calibri" w:cs="Calibri" w:eastAsia="Calibri" w:hAnsi="Calibri"/>
          <w:b/>
          <w:bCs/>
          <w:color w:val="1F1F1F"/>
          <w:sz w:val="32"/>
          <w:szCs w:val="32"/>
        </w:rPr>
        <w:t xml:space="preserve">4.3  Layer 3 — Pipeline Orchestration (market.py)</w:t>
      </w:r>
    </w:p>
    <w:p>
      <w:pPr>
        <w:spacing w:after="120" w:before="0" w:line="320"/>
        <w:jc w:val="left"/>
      </w:pPr>
      <w:r>
        <w:rPr>
          <w:rFonts w:ascii="Calibri" w:cs="Calibri" w:eastAsia="Calibri" w:hAnsi="Calibri"/>
          <w:b w:val="false"/>
          <w:bCs w:val="false"/>
          <w:i w:val="false"/>
          <w:iCs w:val="false"/>
          <w:color w:val="1F1F1F"/>
          <w:sz w:val="24"/>
          <w:szCs w:val="24"/>
        </w:rPr>
        <w:t xml:space="preserve">A new orchestrator function calls the confidence gate, then the three prompts in sequence, with per-prompt retry on parse failure and graceful fallback to typed empty results on persistent failure. Per-prompt logging captures input, output, retries, parse failures, latency, and token counts. This is where reliability is engineered.</w:t>
      </w:r>
    </w:p>
    <w:p>
      <w:pPr>
        <w:spacing w:after="140" w:before="280"/>
      </w:pPr>
      <w:r>
        <w:rPr>
          <w:rFonts w:ascii="Calibri" w:cs="Calibri" w:eastAsia="Calibri" w:hAnsi="Calibri"/>
          <w:b/>
          <w:bCs/>
          <w:color w:val="1F1F1F"/>
          <w:sz w:val="32"/>
          <w:szCs w:val="32"/>
        </w:rPr>
        <w:t xml:space="preserve">4.4  Layer 4 — Financial Integration (financials.py + excel_builder.py)</w:t>
      </w:r>
    </w:p>
    <w:p>
      <w:pPr>
        <w:spacing w:after="120" w:before="0" w:line="320"/>
        <w:jc w:val="left"/>
      </w:pPr>
      <w:r>
        <w:rPr>
          <w:rFonts w:ascii="Calibri" w:cs="Calibri" w:eastAsia="Calibri" w:hAnsi="Calibri"/>
          <w:b w:val="false"/>
          <w:bCs w:val="false"/>
          <w:i w:val="false"/>
          <w:iCs w:val="false"/>
          <w:color w:val="1F1F1F"/>
          <w:sz w:val="24"/>
          <w:szCs w:val="24"/>
        </w:rPr>
        <w:t xml:space="preserve">The financial pipeline fans out across scenarios. For each scenario, baseline assumptions are deep-copied and modified by the scenario's deltas. Financial outputs are computed and stored on the scenario. Excel files are emitted one per scenario to a deal-specific output folder, with deterministic descriptive names. After the fan-out completes, the preferred scenario's outputs are mirrored to the legacy field for backward compatibility.</w:t>
      </w:r>
    </w:p>
    <w:p>
      <w:pPr>
        <w:spacing w:after="140" w:before="280"/>
      </w:pPr>
      <w:r>
        <w:rPr>
          <w:rFonts w:ascii="Calibri" w:cs="Calibri" w:eastAsia="Calibri" w:hAnsi="Calibri"/>
          <w:b/>
          <w:bCs/>
          <w:color w:val="1F1F1F"/>
          <w:sz w:val="32"/>
          <w:szCs w:val="32"/>
        </w:rPr>
        <w:t xml:space="preserve">4.5  Layer 5 — Rendering (report_template.html + report.css)</w:t>
      </w:r>
    </w:p>
    <w:p>
      <w:pPr>
        <w:spacing w:after="120" w:before="0" w:line="320"/>
        <w:jc w:val="left"/>
      </w:pPr>
      <w:r>
        <w:rPr>
          <w:rFonts w:ascii="Calibri" w:cs="Calibri" w:eastAsia="Calibri" w:hAnsi="Calibri"/>
          <w:b w:val="false"/>
          <w:bCs w:val="false"/>
          <w:i w:val="false"/>
          <w:iCs w:val="false"/>
          <w:color w:val="1F1F1F"/>
          <w:sz w:val="24"/>
          <w:szCs w:val="24"/>
        </w:rPr>
        <w:t xml:space="preserve">Section 06 of the report is rebuilt to lead with a conformity callout, followed by the existing zoning standards and buildable capacity blocks, followed by a use flexibility score, then an overlay impact assessment, then a scenario comparison table cross-referencing the Excel filenames, then per-scenario detail blocks in rank order, and concluding with the cross-scenario recommendation. CSS additions cover status badges, comparison table styling, and scenario card visual treatment.</w:t>
      </w:r>
    </w:p>
    <w:p>
      <w:r>
        <w:br w:type="page"/>
      </w:r>
    </w:p>
    <w:p>
      <w:pPr>
        <w:pBdr>
          <w:bottom w:val="single" w:color="4A6E50" w:sz="12" w:space="4"/>
        </w:pBdr>
        <w:spacing w:after="200" w:before="360"/>
      </w:pPr>
      <w:r>
        <w:rPr>
          <w:rFonts w:ascii="Calibri" w:cs="Calibri" w:eastAsia="Calibri" w:hAnsi="Calibri"/>
          <w:b/>
          <w:bCs/>
          <w:color w:val="4A6E50"/>
          <w:sz w:val="40"/>
          <w:szCs w:val="40"/>
        </w:rPr>
        <w:t xml:space="preserve">5.  Five-Session Build Plan</w:t>
      </w:r>
    </w:p>
    <w:p>
      <w:pPr>
        <w:spacing w:after="120" w:before="0" w:line="320"/>
        <w:jc w:val="left"/>
      </w:pPr>
      <w:r>
        <w:rPr>
          <w:rFonts w:ascii="Calibri" w:cs="Calibri" w:eastAsia="Calibri" w:hAnsi="Calibri"/>
          <w:b w:val="false"/>
          <w:bCs w:val="false"/>
          <w:i w:val="false"/>
          <w:iCs w:val="false"/>
          <w:color w:val="1F1F1F"/>
          <w:sz w:val="24"/>
          <w:szCs w:val="24"/>
        </w:rPr>
        <w:t xml:space="preserve">Each session delivers one architectural layer. Each session has a defined gate that must pass before the next session begins. The gate is not just "did the code run" but "did the code produce correct output on the regression test deals."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rPr>
          <w:tblHeader/>
        </w:trPr>
        <w:tc>
          <w:tcPr>
            <w:tcW w:type="dxa" w:w="1400"/>
            <w:tcBorders>
              <w:top w:val="single" w:color="D0D0D0" w:sz="4"/>
              <w:left w:val="single" w:color="D0D0D0" w:sz="4"/>
              <w:bottom w:val="single" w:color="D0D0D0" w:sz="4"/>
              <w:right w:val="single" w:color="D0D0D0" w:sz="4"/>
            </w:tcBorders>
            <w:shd w:fill="4A6E50" w:color="auto" w:val="clear"/>
            <w:tcMar>
              <w:top w:type="dxa" w:w="100"/>
              <w:left w:type="dxa" w:w="140"/>
              <w:bottom w:type="dxa" w:w="100"/>
              <w:right w:type="dxa" w:w="140"/>
            </w:tcMar>
            <w:vAlign w:val="center"/>
          </w:tcPr>
          <w:p>
            <w:pPr>
              <w:spacing w:after="0" w:before="0"/>
              <w:jc w:val="center"/>
            </w:pPr>
            <w:r>
              <w:rPr>
                <w:rFonts w:ascii="Calibri" w:cs="Calibri" w:eastAsia="Calibri" w:hAnsi="Calibri"/>
                <w:b/>
                <w:bCs/>
                <w:color w:val="FFFFFF"/>
                <w:sz w:val="22"/>
                <w:szCs w:val="22"/>
              </w:rPr>
              <w:t xml:space="preserve">Session</w:t>
            </w:r>
          </w:p>
        </w:tc>
        <w:tc>
          <w:tcPr>
            <w:tcW w:type="dxa" w:w="3200"/>
            <w:tcBorders>
              <w:top w:val="single" w:color="D0D0D0" w:sz="4"/>
              <w:left w:val="single" w:color="D0D0D0" w:sz="4"/>
              <w:bottom w:val="single" w:color="D0D0D0" w:sz="4"/>
              <w:right w:val="single" w:color="D0D0D0" w:sz="4"/>
            </w:tcBorders>
            <w:shd w:fill="4A6E50" w:color="auto" w:val="clear"/>
            <w:tcMar>
              <w:top w:type="dxa" w:w="100"/>
              <w:left w:type="dxa" w:w="140"/>
              <w:bottom w:type="dxa" w:w="100"/>
              <w:right w:type="dxa" w:w="140"/>
            </w:tcMar>
            <w:vAlign w:val="center"/>
          </w:tcPr>
          <w:p>
            <w:pPr>
              <w:spacing w:after="0" w:before="0"/>
              <w:jc w:val="left"/>
            </w:pPr>
            <w:r>
              <w:rPr>
                <w:rFonts w:ascii="Calibri" w:cs="Calibri" w:eastAsia="Calibri" w:hAnsi="Calibri"/>
                <w:b/>
                <w:bCs/>
                <w:color w:val="FFFFFF"/>
                <w:sz w:val="22"/>
                <w:szCs w:val="22"/>
              </w:rPr>
              <w:t xml:space="preserve">Layer</w:t>
            </w:r>
          </w:p>
        </w:tc>
        <w:tc>
          <w:tcPr>
            <w:tcW w:type="dxa" w:w="4760"/>
            <w:tcBorders>
              <w:top w:val="single" w:color="D0D0D0" w:sz="4"/>
              <w:left w:val="single" w:color="D0D0D0" w:sz="4"/>
              <w:bottom w:val="single" w:color="D0D0D0" w:sz="4"/>
              <w:right w:val="single" w:color="D0D0D0" w:sz="4"/>
            </w:tcBorders>
            <w:shd w:fill="4A6E50" w:color="auto" w:val="clear"/>
            <w:tcMar>
              <w:top w:type="dxa" w:w="100"/>
              <w:left w:type="dxa" w:w="140"/>
              <w:bottom w:type="dxa" w:w="100"/>
              <w:right w:type="dxa" w:w="140"/>
            </w:tcMar>
            <w:vAlign w:val="center"/>
          </w:tcPr>
          <w:p>
            <w:pPr>
              <w:spacing w:after="0" w:before="0"/>
              <w:jc w:val="left"/>
            </w:pPr>
            <w:r>
              <w:rPr>
                <w:rFonts w:ascii="Calibri" w:cs="Calibri" w:eastAsia="Calibri" w:hAnsi="Calibri"/>
                <w:b/>
                <w:bCs/>
                <w:color w:val="FFFFFF"/>
                <w:sz w:val="22"/>
                <w:szCs w:val="22"/>
              </w:rPr>
              <w:t xml:space="preserve">Primary Deliverable</w:t>
            </w:r>
          </w:p>
        </w:tc>
      </w:tr>
      <w:tr>
        <w:tc>
          <w:tcPr>
            <w:tcW w:type="dxa" w:w="1400"/>
            <w:tcBorders>
              <w:top w:val="single" w:color="D0D0D0" w:sz="4"/>
              <w:left w:val="single" w:color="D0D0D0" w:sz="4"/>
              <w:bottom w:val="single" w:color="D0D0D0" w:sz="4"/>
              <w:right w:val="single" w:color="D0D0D0" w:sz="4"/>
            </w:tcBorders>
            <w:tcMar>
              <w:top w:type="dxa" w:w="100"/>
              <w:left w:type="dxa" w:w="140"/>
              <w:bottom w:type="dxa" w:w="100"/>
              <w:right w:type="dxa" w:w="140"/>
            </w:tcMar>
            <w:vAlign w:val="center"/>
          </w:tcPr>
          <w:p>
            <w:pPr>
              <w:spacing w:after="0" w:before="0"/>
              <w:jc w:val="center"/>
            </w:pPr>
            <w:r>
              <w:rPr>
                <w:rFonts w:ascii="Calibri" w:cs="Calibri" w:eastAsia="Calibri" w:hAnsi="Calibri"/>
                <w:b/>
                <w:bCs/>
                <w:color w:val="1F1F1F"/>
                <w:sz w:val="22"/>
                <w:szCs w:val="22"/>
              </w:rPr>
              <w:t xml:space="preserve">1</w:t>
            </w:r>
          </w:p>
        </w:tc>
        <w:tc>
          <w:tcPr>
            <w:tcW w:type="dxa" w:w="3200"/>
            <w:tcBorders>
              <w:top w:val="single" w:color="D0D0D0" w:sz="4"/>
              <w:left w:val="single" w:color="D0D0D0" w:sz="4"/>
              <w:bottom w:val="single" w:color="D0D0D0" w:sz="4"/>
              <w:right w:val="single" w:color="D0D0D0" w:sz="4"/>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F1F1F"/>
                <w:sz w:val="22"/>
                <w:szCs w:val="22"/>
              </w:rPr>
              <w:t xml:space="preserve">Schema (models.py)</w:t>
            </w:r>
          </w:p>
        </w:tc>
        <w:tc>
          <w:tcPr>
            <w:tcW w:type="dxa" w:w="4760"/>
            <w:tcBorders>
              <w:top w:val="single" w:color="D0D0D0" w:sz="4"/>
              <w:left w:val="single" w:color="D0D0D0" w:sz="4"/>
              <w:bottom w:val="single" w:color="D0D0D0" w:sz="4"/>
              <w:right w:val="single" w:color="D0D0D0" w:sz="4"/>
            </w:tcBorders>
            <w:shd w:fill="F5F5F0" w:color="auto" w:val="clear"/>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F1F1F"/>
                <w:sz w:val="22"/>
                <w:szCs w:val="22"/>
              </w:rPr>
              <w:t xml:space="preserve">New models, enums, validators, mirror utility, test fixture</w:t>
            </w:r>
          </w:p>
        </w:tc>
      </w:tr>
      <w:tr>
        <w:tc>
          <w:tcPr>
            <w:tcW w:type="dxa" w:w="1400"/>
            <w:tcBorders>
              <w:top w:val="single" w:color="D0D0D0" w:sz="4"/>
              <w:left w:val="single" w:color="D0D0D0" w:sz="4"/>
              <w:bottom w:val="single" w:color="D0D0D0" w:sz="4"/>
              <w:right w:val="single" w:color="D0D0D0" w:sz="4"/>
            </w:tcBorders>
            <w:tcMar>
              <w:top w:type="dxa" w:w="100"/>
              <w:left w:type="dxa" w:w="140"/>
              <w:bottom w:type="dxa" w:w="100"/>
              <w:right w:type="dxa" w:w="140"/>
            </w:tcMar>
            <w:vAlign w:val="center"/>
          </w:tcPr>
          <w:p>
            <w:pPr>
              <w:spacing w:after="0" w:before="0"/>
              <w:jc w:val="center"/>
            </w:pPr>
            <w:r>
              <w:rPr>
                <w:rFonts w:ascii="Calibri" w:cs="Calibri" w:eastAsia="Calibri" w:hAnsi="Calibri"/>
                <w:b/>
                <w:bCs/>
                <w:color w:val="1F1F1F"/>
                <w:sz w:val="22"/>
                <w:szCs w:val="22"/>
              </w:rPr>
              <w:t xml:space="preserve">2</w:t>
            </w:r>
          </w:p>
        </w:tc>
        <w:tc>
          <w:tcPr>
            <w:tcW w:type="dxa" w:w="3200"/>
            <w:tcBorders>
              <w:top w:val="single" w:color="D0D0D0" w:sz="4"/>
              <w:left w:val="single" w:color="D0D0D0" w:sz="4"/>
              <w:bottom w:val="single" w:color="D0D0D0" w:sz="4"/>
              <w:right w:val="single" w:color="D0D0D0" w:sz="4"/>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F1F1F"/>
                <w:sz w:val="22"/>
                <w:szCs w:val="22"/>
              </w:rPr>
              <w:t xml:space="preserve">Prompt design and approval</w:t>
            </w:r>
          </w:p>
        </w:tc>
        <w:tc>
          <w:tcPr>
            <w:tcW w:type="dxa" w:w="4760"/>
            <w:tcBorders>
              <w:top w:val="single" w:color="D0D0D0" w:sz="4"/>
              <w:left w:val="single" w:color="D0D0D0" w:sz="4"/>
              <w:bottom w:val="single" w:color="D0D0D0" w:sz="4"/>
              <w:right w:val="single" w:color="D0D0D0" w:sz="4"/>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F1F1F"/>
                <w:sz w:val="22"/>
                <w:szCs w:val="22"/>
              </w:rPr>
              <w:t xml:space="preserve">Three prompt drafts, three reference deal tests, catalog v5</w:t>
            </w:r>
          </w:p>
        </w:tc>
      </w:tr>
      <w:tr>
        <w:tc>
          <w:tcPr>
            <w:tcW w:type="dxa" w:w="1400"/>
            <w:tcBorders>
              <w:top w:val="single" w:color="D0D0D0" w:sz="4"/>
              <w:left w:val="single" w:color="D0D0D0" w:sz="4"/>
              <w:bottom w:val="single" w:color="D0D0D0" w:sz="4"/>
              <w:right w:val="single" w:color="D0D0D0" w:sz="4"/>
            </w:tcBorders>
            <w:tcMar>
              <w:top w:type="dxa" w:w="100"/>
              <w:left w:type="dxa" w:w="140"/>
              <w:bottom w:type="dxa" w:w="100"/>
              <w:right w:type="dxa" w:w="140"/>
            </w:tcMar>
            <w:vAlign w:val="center"/>
          </w:tcPr>
          <w:p>
            <w:pPr>
              <w:spacing w:after="0" w:before="0"/>
              <w:jc w:val="center"/>
            </w:pPr>
            <w:r>
              <w:rPr>
                <w:rFonts w:ascii="Calibri" w:cs="Calibri" w:eastAsia="Calibri" w:hAnsi="Calibri"/>
                <w:b/>
                <w:bCs/>
                <w:color w:val="1F1F1F"/>
                <w:sz w:val="22"/>
                <w:szCs w:val="22"/>
              </w:rPr>
              <w:t xml:space="preserve">3</w:t>
            </w:r>
          </w:p>
        </w:tc>
        <w:tc>
          <w:tcPr>
            <w:tcW w:type="dxa" w:w="3200"/>
            <w:tcBorders>
              <w:top w:val="single" w:color="D0D0D0" w:sz="4"/>
              <w:left w:val="single" w:color="D0D0D0" w:sz="4"/>
              <w:bottom w:val="single" w:color="D0D0D0" w:sz="4"/>
              <w:right w:val="single" w:color="D0D0D0" w:sz="4"/>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F1F1F"/>
                <w:sz w:val="22"/>
                <w:szCs w:val="22"/>
              </w:rPr>
              <w:t xml:space="preserve">Pipeline orchestration (market.py)</w:t>
            </w:r>
          </w:p>
        </w:tc>
        <w:tc>
          <w:tcPr>
            <w:tcW w:type="dxa" w:w="4760"/>
            <w:tcBorders>
              <w:top w:val="single" w:color="D0D0D0" w:sz="4"/>
              <w:left w:val="single" w:color="D0D0D0" w:sz="4"/>
              <w:bottom w:val="single" w:color="D0D0D0" w:sz="4"/>
              <w:right w:val="single" w:color="D0D0D0" w:sz="4"/>
            </w:tcBorders>
            <w:shd w:fill="F5F5F0" w:color="auto" w:val="clear"/>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F1F1F"/>
                <w:sz w:val="22"/>
                <w:szCs w:val="22"/>
              </w:rPr>
              <w:t xml:space="preserve">Confidence gate, three prompt-runners with retry, orchestrator</w:t>
            </w:r>
          </w:p>
        </w:tc>
      </w:tr>
      <w:tr>
        <w:tc>
          <w:tcPr>
            <w:tcW w:type="dxa" w:w="1400"/>
            <w:tcBorders>
              <w:top w:val="single" w:color="D0D0D0" w:sz="4"/>
              <w:left w:val="single" w:color="D0D0D0" w:sz="4"/>
              <w:bottom w:val="single" w:color="D0D0D0" w:sz="4"/>
              <w:right w:val="single" w:color="D0D0D0" w:sz="4"/>
            </w:tcBorders>
            <w:tcMar>
              <w:top w:type="dxa" w:w="100"/>
              <w:left w:type="dxa" w:w="140"/>
              <w:bottom w:type="dxa" w:w="100"/>
              <w:right w:type="dxa" w:w="140"/>
            </w:tcMar>
            <w:vAlign w:val="center"/>
          </w:tcPr>
          <w:p>
            <w:pPr>
              <w:spacing w:after="0" w:before="0"/>
              <w:jc w:val="center"/>
            </w:pPr>
            <w:r>
              <w:rPr>
                <w:rFonts w:ascii="Calibri" w:cs="Calibri" w:eastAsia="Calibri" w:hAnsi="Calibri"/>
                <w:b/>
                <w:bCs/>
                <w:color w:val="1F1F1F"/>
                <w:sz w:val="22"/>
                <w:szCs w:val="22"/>
              </w:rPr>
              <w:t xml:space="preserve">4</w:t>
            </w:r>
          </w:p>
        </w:tc>
        <w:tc>
          <w:tcPr>
            <w:tcW w:type="dxa" w:w="3200"/>
            <w:tcBorders>
              <w:top w:val="single" w:color="D0D0D0" w:sz="4"/>
              <w:left w:val="single" w:color="D0D0D0" w:sz="4"/>
              <w:bottom w:val="single" w:color="D0D0D0" w:sz="4"/>
              <w:right w:val="single" w:color="D0D0D0" w:sz="4"/>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F1F1F"/>
                <w:sz w:val="22"/>
                <w:szCs w:val="22"/>
              </w:rPr>
              <w:t xml:space="preserve">Financial integration</w:t>
            </w:r>
          </w:p>
        </w:tc>
        <w:tc>
          <w:tcPr>
            <w:tcW w:type="dxa" w:w="4760"/>
            <w:tcBorders>
              <w:top w:val="single" w:color="D0D0D0" w:sz="4"/>
              <w:left w:val="single" w:color="D0D0D0" w:sz="4"/>
              <w:bottom w:val="single" w:color="D0D0D0" w:sz="4"/>
              <w:right w:val="single" w:color="D0D0D0" w:sz="4"/>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F1F1F"/>
                <w:sz w:val="22"/>
                <w:szCs w:val="22"/>
              </w:rPr>
              <w:t xml:space="preserve">Scenario fan-out in financials.py and excel_builder.py</w:t>
            </w:r>
          </w:p>
        </w:tc>
      </w:tr>
      <w:tr>
        <w:tc>
          <w:tcPr>
            <w:tcW w:type="dxa" w:w="1400"/>
            <w:tcBorders>
              <w:top w:val="single" w:color="D0D0D0" w:sz="4"/>
              <w:left w:val="single" w:color="D0D0D0" w:sz="4"/>
              <w:bottom w:val="single" w:color="D0D0D0" w:sz="4"/>
              <w:right w:val="single" w:color="D0D0D0" w:sz="4"/>
            </w:tcBorders>
            <w:tcMar>
              <w:top w:type="dxa" w:w="100"/>
              <w:left w:type="dxa" w:w="140"/>
              <w:bottom w:type="dxa" w:w="100"/>
              <w:right w:type="dxa" w:w="140"/>
            </w:tcMar>
            <w:vAlign w:val="center"/>
          </w:tcPr>
          <w:p>
            <w:pPr>
              <w:spacing w:after="0" w:before="0"/>
              <w:jc w:val="center"/>
            </w:pPr>
            <w:r>
              <w:rPr>
                <w:rFonts w:ascii="Calibri" w:cs="Calibri" w:eastAsia="Calibri" w:hAnsi="Calibri"/>
                <w:b/>
                <w:bCs/>
                <w:color w:val="1F1F1F"/>
                <w:sz w:val="22"/>
                <w:szCs w:val="22"/>
              </w:rPr>
              <w:t xml:space="preserve">5</w:t>
            </w:r>
          </w:p>
        </w:tc>
        <w:tc>
          <w:tcPr>
            <w:tcW w:type="dxa" w:w="3200"/>
            <w:tcBorders>
              <w:top w:val="single" w:color="D0D0D0" w:sz="4"/>
              <w:left w:val="single" w:color="D0D0D0" w:sz="4"/>
              <w:bottom w:val="single" w:color="D0D0D0" w:sz="4"/>
              <w:right w:val="single" w:color="D0D0D0" w:sz="4"/>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F1F1F"/>
                <w:sz w:val="22"/>
                <w:szCs w:val="22"/>
              </w:rPr>
              <w:t xml:space="preserve">Rendering</w:t>
            </w:r>
          </w:p>
        </w:tc>
        <w:tc>
          <w:tcPr>
            <w:tcW w:type="dxa" w:w="4760"/>
            <w:tcBorders>
              <w:top w:val="single" w:color="D0D0D0" w:sz="4"/>
              <w:left w:val="single" w:color="D0D0D0" w:sz="4"/>
              <w:bottom w:val="single" w:color="D0D0D0" w:sz="4"/>
              <w:right w:val="single" w:color="D0D0D0" w:sz="4"/>
            </w:tcBorders>
            <w:shd w:fill="F5F5F0" w:color="auto" w:val="clear"/>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F1F1F"/>
                <w:sz w:val="22"/>
                <w:szCs w:val="22"/>
              </w:rPr>
              <w:t xml:space="preserve">Section 06 template rebuild, CSS additions, conditional rendering</w:t>
            </w:r>
          </w:p>
        </w:tc>
      </w:tr>
    </w:tbl>
    <w:p>
      <w:pPr>
        <w:spacing w:after="120" w:before="120"/>
      </w:pPr>
      <w:r>
        <w:rPr>
          <w:rFonts w:ascii="Calibri" w:cs="Calibri" w:eastAsia="Calibri" w:hAnsi="Calibri"/>
          <w:sz w:val="20"/>
          <w:szCs w:val="20"/>
        </w:rPr>
        <w:t xml:space="preserve"/>
      </w:r>
    </w:p>
    <w:p>
      <w:pPr>
        <w:spacing w:after="120" w:before="0" w:line="320"/>
        <w:jc w:val="left"/>
      </w:pPr>
      <w:r>
        <w:rPr>
          <w:rFonts w:ascii="Calibri" w:cs="Calibri" w:eastAsia="Calibri" w:hAnsi="Calibri"/>
          <w:b w:val="false"/>
          <w:bCs w:val="false"/>
          <w:i w:val="false"/>
          <w:iCs w:val="false"/>
          <w:color w:val="1F1F1F"/>
          <w:sz w:val="24"/>
          <w:szCs w:val="24"/>
        </w:rPr>
        <w:t xml:space="preserve">The estimated total effort is four to six weeks of part-time work assuming one Claude Code session per week with normal iteration cycles. Session 2, the prompt design phase, includes a one-to-three day review and approval window outside of code time.</w:t>
      </w:r>
    </w:p>
    <w:p>
      <w:r>
        <w:br w:type="page"/>
      </w:r>
    </w:p>
    <w:p>
      <w:pPr>
        <w:pBdr>
          <w:bottom w:val="single" w:color="4A6E50" w:sz="12" w:space="4"/>
        </w:pBdr>
        <w:spacing w:after="200" w:before="360"/>
      </w:pPr>
      <w:r>
        <w:rPr>
          <w:rFonts w:ascii="Calibri" w:cs="Calibri" w:eastAsia="Calibri" w:hAnsi="Calibri"/>
          <w:b/>
          <w:bCs/>
          <w:color w:val="4A6E50"/>
          <w:sz w:val="40"/>
          <w:szCs w:val="40"/>
        </w:rPr>
        <w:t xml:space="preserve">6.  Session 1 Gate Criteria</w:t>
      </w:r>
    </w:p>
    <w:p>
      <w:pPr>
        <w:spacing w:after="120" w:before="0" w:line="320"/>
        <w:jc w:val="left"/>
      </w:pPr>
      <w:r>
        <w:rPr>
          <w:rFonts w:ascii="Calibri" w:cs="Calibri" w:eastAsia="Calibri" w:hAnsi="Calibri"/>
          <w:b w:val="false"/>
          <w:bCs w:val="false"/>
          <w:i w:val="false"/>
          <w:iCs w:val="false"/>
          <w:color w:val="1F1F1F"/>
          <w:sz w:val="24"/>
          <w:szCs w:val="24"/>
        </w:rPr>
        <w:t xml:space="preserve">Session 1 is complete when all of the following are true. These are not aspirational checks — they are concrete pass/fail criteria that the working Claude Code instance must verify before declaring the session done.</w:t>
      </w:r>
    </w:p>
    <w:p>
      <w:pPr>
        <w:pStyle w:val="ListParagraph"/>
        <w:numPr>
          <w:ilvl w:val="0"/>
          <w:numId w:val="2"/>
        </w:numPr>
        <w:spacing w:after="60" w:before="60" w:line="320"/>
      </w:pPr>
      <w:r>
        <w:rPr>
          <w:rFonts w:ascii="Calibri" w:cs="Calibri" w:eastAsia="Calibri" w:hAnsi="Calibri"/>
          <w:color w:val="1F1F1F"/>
          <w:sz w:val="24"/>
          <w:szCs w:val="24"/>
        </w:rPr>
        <w:t xml:space="preserve">New models.py imports cleanly with no syntax or type errors.</w:t>
      </w:r>
    </w:p>
    <w:p>
      <w:pPr>
        <w:pStyle w:val="ListParagraph"/>
        <w:numPr>
          <w:ilvl w:val="0"/>
          <w:numId w:val="2"/>
        </w:numPr>
        <w:spacing w:after="60" w:before="60" w:line="320"/>
      </w:pPr>
      <w:r>
        <w:rPr>
          <w:rFonts w:ascii="Calibri" w:cs="Calibri" w:eastAsia="Calibri" w:hAnsi="Calibri"/>
          <w:color w:val="1F1F1F"/>
          <w:sz w:val="24"/>
          <w:szCs w:val="24"/>
        </w:rPr>
        <w:t xml:space="preserve">The Session 1 test fixture deserializes into DealData without exception.</w:t>
      </w:r>
    </w:p>
    <w:p>
      <w:pPr>
        <w:pStyle w:val="ListParagraph"/>
        <w:numPr>
          <w:ilvl w:val="0"/>
          <w:numId w:val="2"/>
        </w:numPr>
        <w:spacing w:after="60" w:before="60" w:line="320"/>
      </w:pPr>
      <w:r>
        <w:rPr>
          <w:rFonts w:ascii="Calibri" w:cs="Calibri" w:eastAsia="Calibri" w:hAnsi="Calibri"/>
          <w:color w:val="1F1F1F"/>
          <w:sz w:val="24"/>
          <w:szCs w:val="24"/>
        </w:rPr>
        <w:t xml:space="preserve">The mirror_preferred_to_legacy utility produces correct output on the test fixture after mock financial outputs are populated.</w:t>
      </w:r>
    </w:p>
    <w:p>
      <w:pPr>
        <w:pStyle w:val="ListParagraph"/>
        <w:numPr>
          <w:ilvl w:val="0"/>
          <w:numId w:val="2"/>
        </w:numPr>
        <w:spacing w:after="60" w:before="60" w:line="320"/>
      </w:pPr>
      <w:r>
        <w:rPr>
          <w:rFonts w:ascii="Calibri" w:cs="Calibri" w:eastAsia="Calibri" w:hAnsi="Calibri"/>
          <w:color w:val="1F1F1F"/>
          <w:sz w:val="24"/>
          <w:szCs w:val="24"/>
        </w:rPr>
        <w:t xml:space="preserve">The mirror utility raises ValueError on an empty scenarios list and on a missing PREFERRED verdict.</w:t>
      </w:r>
    </w:p>
    <w:p>
      <w:pPr>
        <w:pStyle w:val="ListParagraph"/>
        <w:numPr>
          <w:ilvl w:val="0"/>
          <w:numId w:val="2"/>
        </w:numPr>
        <w:spacing w:after="60" w:before="60" w:line="320"/>
      </w:pPr>
      <w:r>
        <w:rPr>
          <w:rFonts w:ascii="Calibri" w:cs="Calibri" w:eastAsia="Calibri" w:hAnsi="Calibri"/>
          <w:color w:val="1F1F1F"/>
          <w:sz w:val="24"/>
          <w:szCs w:val="24"/>
        </w:rPr>
        <w:t xml:space="preserve">The ConformityAssessment validator rejects CONFORMING status with nonconformity details populated.</w:t>
      </w:r>
    </w:p>
    <w:p>
      <w:pPr>
        <w:pStyle w:val="ListParagraph"/>
        <w:numPr>
          <w:ilvl w:val="0"/>
          <w:numId w:val="2"/>
        </w:numPr>
        <w:spacing w:after="60" w:before="60" w:line="320"/>
      </w:pPr>
      <w:r>
        <w:rPr>
          <w:rFonts w:ascii="Calibri" w:cs="Calibri" w:eastAsia="Calibri" w:hAnsi="Calibri"/>
          <w:color w:val="1F1F1F"/>
          <w:sz w:val="24"/>
          <w:szCs w:val="24"/>
        </w:rPr>
        <w:t xml:space="preserve">The ConformityAssessment validator rejects LEGAL_NONCONFORMING status without grandfathering status.</w:t>
      </w:r>
    </w:p>
    <w:p>
      <w:pPr>
        <w:pStyle w:val="ListParagraph"/>
        <w:numPr>
          <w:ilvl w:val="0"/>
          <w:numId w:val="2"/>
        </w:numPr>
        <w:spacing w:after="60" w:before="60" w:line="320"/>
      </w:pPr>
      <w:r>
        <w:rPr>
          <w:rFonts w:ascii="Calibri" w:cs="Calibri" w:eastAsia="Calibri" w:hAnsi="Calibri"/>
          <w:color w:val="1F1F1F"/>
          <w:sz w:val="24"/>
          <w:szCs w:val="24"/>
        </w:rPr>
        <w:t xml:space="preserve">The DevelopmentScenario validator rejects scenario IDs with special characters.</w:t>
      </w:r>
    </w:p>
    <w:p>
      <w:pPr>
        <w:pStyle w:val="ListParagraph"/>
        <w:numPr>
          <w:ilvl w:val="0"/>
          <w:numId w:val="2"/>
        </w:numPr>
        <w:spacing w:after="60" w:before="60" w:line="320"/>
      </w:pPr>
      <w:r>
        <w:rPr>
          <w:rFonts w:ascii="Calibri" w:cs="Calibri" w:eastAsia="Calibri" w:hAnsi="Calibri"/>
          <w:color w:val="1F1F1F"/>
          <w:sz w:val="24"/>
          <w:szCs w:val="24"/>
        </w:rPr>
        <w:t xml:space="preserve">The DevelopmentScenario validator rejects scenario IDs over thirty characters.</w:t>
      </w:r>
    </w:p>
    <w:p>
      <w:pPr>
        <w:pStyle w:val="ListParagraph"/>
        <w:numPr>
          <w:ilvl w:val="0"/>
          <w:numId w:val="2"/>
        </w:numPr>
        <w:spacing w:after="60" w:before="60" w:line="320"/>
      </w:pPr>
      <w:r>
        <w:rPr>
          <w:rFonts w:ascii="Calibri" w:cs="Calibri" w:eastAsia="Calibri" w:hAnsi="Calibri"/>
          <w:color w:val="1F1F1F"/>
          <w:sz w:val="24"/>
          <w:szCs w:val="24"/>
        </w:rPr>
        <w:t xml:space="preserve">The DevelopmentScenario validator rejects ranks outside the set 1, 2, 3.</w:t>
      </w:r>
    </w:p>
    <w:p>
      <w:pPr>
        <w:pStyle w:val="ListParagraph"/>
        <w:numPr>
          <w:ilvl w:val="0"/>
          <w:numId w:val="2"/>
        </w:numPr>
        <w:spacing w:after="60" w:before="60" w:line="320"/>
      </w:pPr>
      <w:r>
        <w:rPr>
          <w:rFonts w:ascii="Calibri" w:cs="Calibri" w:eastAsia="Calibri" w:hAnsi="Calibri"/>
          <w:color w:val="1F1F1F"/>
          <w:sz w:val="24"/>
          <w:szCs w:val="24"/>
        </w:rPr>
        <w:t xml:space="preserve">The DealData validator rejects more than three scenarios.</w:t>
      </w:r>
    </w:p>
    <w:p>
      <w:pPr>
        <w:pStyle w:val="ListParagraph"/>
        <w:numPr>
          <w:ilvl w:val="0"/>
          <w:numId w:val="2"/>
        </w:numPr>
        <w:spacing w:after="60" w:before="60" w:line="320"/>
      </w:pPr>
      <w:r>
        <w:rPr>
          <w:rFonts w:ascii="Calibri" w:cs="Calibri" w:eastAsia="Calibri" w:hAnsi="Calibri"/>
          <w:color w:val="1F1F1F"/>
          <w:sz w:val="24"/>
          <w:szCs w:val="24"/>
        </w:rPr>
        <w:t xml:space="preserve">The DealData validator rejects duplicate ranks across scenarios.</w:t>
      </w:r>
    </w:p>
    <w:p>
      <w:pPr>
        <w:pStyle w:val="ListParagraph"/>
        <w:numPr>
          <w:ilvl w:val="0"/>
          <w:numId w:val="2"/>
        </w:numPr>
        <w:spacing w:after="60" w:before="60" w:line="320"/>
      </w:pPr>
      <w:r>
        <w:rPr>
          <w:rFonts w:ascii="Calibri" w:cs="Calibri" w:eastAsia="Calibri" w:hAnsi="Calibri"/>
          <w:color w:val="1F1F1F"/>
          <w:sz w:val="24"/>
          <w:szCs w:val="24"/>
        </w:rPr>
        <w:t xml:space="preserve">The DealData validator rejects zero or multiple PREFERRED verdicts.</w:t>
      </w:r>
    </w:p>
    <w:p>
      <w:pPr>
        <w:pStyle w:val="ListParagraph"/>
        <w:numPr>
          <w:ilvl w:val="0"/>
          <w:numId w:val="2"/>
        </w:numPr>
        <w:spacing w:after="60" w:before="60" w:line="320"/>
      </w:pPr>
      <w:r>
        <w:rPr>
          <w:rFonts w:ascii="Calibri" w:cs="Calibri" w:eastAsia="Calibri" w:hAnsi="Calibri"/>
          <w:color w:val="1F1F1F"/>
          <w:sz w:val="24"/>
          <w:szCs w:val="24"/>
        </w:rPr>
        <w:t xml:space="preserve">The DealData validator rejects a PREFERRED scenario without rank equal to one.</w:t>
      </w:r>
    </w:p>
    <w:p>
      <w:pPr>
        <w:pStyle w:val="ListParagraph"/>
        <w:numPr>
          <w:ilvl w:val="0"/>
          <w:numId w:val="2"/>
        </w:numPr>
        <w:spacing w:after="60" w:before="60" w:line="320"/>
      </w:pPr>
      <w:r>
        <w:rPr>
          <w:rFonts w:ascii="Calibri" w:cs="Calibri" w:eastAsia="Calibri" w:hAnsi="Calibri"/>
          <w:color w:val="1F1F1F"/>
          <w:sz w:val="24"/>
          <w:szCs w:val="24"/>
        </w:rPr>
        <w:t xml:space="preserve">The DealData validator rejects a mismatched preferred_scenario_id reference.</w:t>
      </w:r>
    </w:p>
    <w:p>
      <w:pPr>
        <w:pStyle w:val="ListParagraph"/>
        <w:numPr>
          <w:ilvl w:val="0"/>
          <w:numId w:val="2"/>
        </w:numPr>
        <w:spacing w:after="60" w:before="60" w:line="320"/>
      </w:pPr>
      <w:r>
        <w:rPr>
          <w:rFonts w:ascii="Calibri" w:cs="Calibri" w:eastAsia="Calibri" w:hAnsi="Calibri"/>
          <w:color w:val="1F1F1F"/>
          <w:sz w:val="24"/>
          <w:szCs w:val="24"/>
        </w:rPr>
        <w:t xml:space="preserve">Existing deal fixtures from prior production runs still deserialize cleanly with new optional fields defaulting correctly.</w:t>
      </w:r>
    </w:p>
    <w:p>
      <w:pPr>
        <w:pStyle w:val="ListParagraph"/>
        <w:numPr>
          <w:ilvl w:val="0"/>
          <w:numId w:val="2"/>
        </w:numPr>
        <w:spacing w:after="60" w:before="60" w:line="320"/>
      </w:pPr>
      <w:r>
        <w:rPr>
          <w:rFonts w:ascii="Calibri" w:cs="Calibri" w:eastAsia="Calibri" w:hAnsi="Calibri"/>
          <w:color w:val="1F1F1F"/>
          <w:sz w:val="24"/>
          <w:szCs w:val="24"/>
        </w:rPr>
        <w:t xml:space="preserve">Git diff shows changes only in models.py and the new test fixture file. No scope creep into other modules.</w:t>
      </w:r>
    </w:p>
    <w:p>
      <w:pPr>
        <w:pStyle w:val="ListParagraph"/>
        <w:numPr>
          <w:ilvl w:val="0"/>
          <w:numId w:val="2"/>
        </w:numPr>
        <w:spacing w:after="60" w:before="60" w:line="320"/>
      </w:pPr>
      <w:r>
        <w:rPr>
          <w:rFonts w:ascii="Calibri" w:cs="Calibri" w:eastAsia="Calibri" w:hAnsi="Calibri"/>
          <w:color w:val="1F1F1F"/>
          <w:sz w:val="24"/>
          <w:szCs w:val="24"/>
        </w:rPr>
        <w:t xml:space="preserve">Commit message matches the format Session 1: Schema (models.py) — Add ConformityAssessment, DevelopmentScenario, ZoningExtensions.</w:t>
      </w:r>
    </w:p>
    <w:p>
      <w:pPr>
        <w:pStyle w:val="ListParagraph"/>
        <w:numPr>
          <w:ilvl w:val="0"/>
          <w:numId w:val="2"/>
        </w:numPr>
        <w:spacing w:after="60" w:before="60" w:line="320"/>
      </w:pPr>
      <w:r>
        <w:rPr>
          <w:rFonts w:ascii="Calibri" w:cs="Calibri" w:eastAsia="Calibri" w:hAnsi="Calibri"/>
          <w:color w:val="1F1F1F"/>
          <w:sz w:val="24"/>
          <w:szCs w:val="24"/>
        </w:rPr>
        <w:t xml:space="preserve">Repository tagged zoning-overhaul-session-1-passed.</w:t>
      </w:r>
    </w:p>
    <w:p>
      <w:pPr>
        <w:pStyle w:val="ListParagraph"/>
        <w:numPr>
          <w:ilvl w:val="0"/>
          <w:numId w:val="2"/>
        </w:numPr>
        <w:spacing w:after="60" w:before="60" w:line="320"/>
      </w:pPr>
      <w:r>
        <w:rPr>
          <w:rFonts w:ascii="Calibri" w:cs="Calibri" w:eastAsia="Calibri" w:hAnsi="Calibri"/>
          <w:color w:val="1F1F1F"/>
          <w:sz w:val="24"/>
          <w:szCs w:val="24"/>
        </w:rPr>
        <w:t xml:space="preserve">Master plan document updated with Session 1 completion timestamp.</w:t>
      </w:r>
    </w:p>
    <w:p>
      <w:r>
        <w:br w:type="page"/>
      </w:r>
    </w:p>
    <w:p>
      <w:pPr>
        <w:pBdr>
          <w:bottom w:val="single" w:color="4A6E50" w:sz="12" w:space="4"/>
        </w:pBdr>
        <w:spacing w:after="200" w:before="360"/>
      </w:pPr>
      <w:r>
        <w:rPr>
          <w:rFonts w:ascii="Calibri" w:cs="Calibri" w:eastAsia="Calibri" w:hAnsi="Calibri"/>
          <w:b/>
          <w:bCs/>
          <w:color w:val="4A6E50"/>
          <w:sz w:val="40"/>
          <w:szCs w:val="40"/>
        </w:rPr>
        <w:t xml:space="preserve">7.  Schema Specification Summary</w:t>
      </w:r>
    </w:p>
    <w:p>
      <w:pPr>
        <w:spacing w:after="120" w:before="0" w:line="320"/>
        <w:jc w:val="left"/>
      </w:pPr>
      <w:r>
        <w:rPr>
          <w:rFonts w:ascii="Calibri" w:cs="Calibri" w:eastAsia="Calibri" w:hAnsi="Calibri"/>
          <w:b w:val="false"/>
          <w:bCs w:val="false"/>
          <w:i w:val="false"/>
          <w:iCs w:val="false"/>
          <w:color w:val="1F1F1F"/>
          <w:sz w:val="24"/>
          <w:szCs w:val="24"/>
        </w:rPr>
        <w:t xml:space="preserve">This section summarizes the Session 1 schema additions. The complete specification with full code, validators, and the test fixture lives in Session_1_Schema_Design.md, which is the spec the implementing Claude Code instance reads.</w:t>
      </w:r>
    </w:p>
    <w:p>
      <w:pPr>
        <w:spacing w:after="140" w:before="280"/>
      </w:pPr>
      <w:r>
        <w:rPr>
          <w:rFonts w:ascii="Calibri" w:cs="Calibri" w:eastAsia="Calibri" w:hAnsi="Calibri"/>
          <w:b/>
          <w:bCs/>
          <w:color w:val="1F1F1F"/>
          <w:sz w:val="32"/>
          <w:szCs w:val="32"/>
        </w:rPr>
        <w:t xml:space="preserve">7.1  New Enumerations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D0D0D0" w:sz="4"/>
              <w:left w:val="single" w:color="D0D0D0" w:sz="4"/>
              <w:bottom w:val="single" w:color="D0D0D0" w:sz="4"/>
              <w:right w:val="single" w:color="D0D0D0" w:sz="4"/>
            </w:tcBorders>
            <w:shd w:fill="4A6E50" w:color="auto" w:val="clear"/>
            <w:tcMar>
              <w:top w:type="dxa" w:w="100"/>
              <w:left w:type="dxa" w:w="140"/>
              <w:bottom w:type="dxa" w:w="100"/>
              <w:right w:type="dxa" w:w="140"/>
            </w:tcMar>
            <w:vAlign w:val="center"/>
          </w:tcPr>
          <w:p>
            <w:pPr>
              <w:spacing w:after="0" w:before="0"/>
              <w:jc w:val="left"/>
            </w:pPr>
            <w:r>
              <w:rPr>
                <w:rFonts w:ascii="Calibri" w:cs="Calibri" w:eastAsia="Calibri" w:hAnsi="Calibri"/>
                <w:b/>
                <w:bCs/>
                <w:color w:val="FFFFFF"/>
                <w:sz w:val="22"/>
                <w:szCs w:val="22"/>
              </w:rPr>
              <w:t xml:space="preserve">Enum</w:t>
            </w:r>
          </w:p>
        </w:tc>
        <w:tc>
          <w:tcPr>
            <w:tcW w:type="dxa" w:w="6240"/>
            <w:tcBorders>
              <w:top w:val="single" w:color="D0D0D0" w:sz="4"/>
              <w:left w:val="single" w:color="D0D0D0" w:sz="4"/>
              <w:bottom w:val="single" w:color="D0D0D0" w:sz="4"/>
              <w:right w:val="single" w:color="D0D0D0" w:sz="4"/>
            </w:tcBorders>
            <w:shd w:fill="4A6E50" w:color="auto" w:val="clear"/>
            <w:tcMar>
              <w:top w:type="dxa" w:w="100"/>
              <w:left w:type="dxa" w:w="140"/>
              <w:bottom w:type="dxa" w:w="100"/>
              <w:right w:type="dxa" w:w="140"/>
            </w:tcMar>
            <w:vAlign w:val="center"/>
          </w:tcPr>
          <w:p>
            <w:pPr>
              <w:spacing w:after="0" w:before="0"/>
              <w:jc w:val="left"/>
            </w:pPr>
            <w:r>
              <w:rPr>
                <w:rFonts w:ascii="Calibri" w:cs="Calibri" w:eastAsia="Calibri" w:hAnsi="Calibri"/>
                <w:b/>
                <w:bCs/>
                <w:color w:val="FFFFFF"/>
                <w:sz w:val="22"/>
                <w:szCs w:val="22"/>
              </w:rPr>
              <w:t xml:space="preserve">Purpose</w:t>
            </w:r>
          </w:p>
        </w:tc>
      </w:tr>
      <w:tr>
        <w:tc>
          <w:tcPr>
            <w:tcW w:type="dxa" w:w="3120"/>
            <w:tcBorders>
              <w:top w:val="single" w:color="D0D0D0" w:sz="4"/>
              <w:left w:val="single" w:color="D0D0D0" w:sz="4"/>
              <w:bottom w:val="single" w:color="D0D0D0" w:sz="4"/>
              <w:right w:val="single" w:color="D0D0D0" w:sz="4"/>
            </w:tcBorders>
            <w:tcMar>
              <w:top w:type="dxa" w:w="100"/>
              <w:left w:type="dxa" w:w="140"/>
              <w:bottom w:type="dxa" w:w="100"/>
              <w:right w:type="dxa" w:w="140"/>
            </w:tcMar>
            <w:vAlign w:val="center"/>
          </w:tcPr>
          <w:p>
            <w:pPr>
              <w:spacing w:after="0" w:before="0"/>
              <w:jc w:val="left"/>
            </w:pPr>
            <w:r>
              <w:rPr>
                <w:rFonts w:ascii="Calibri" w:cs="Calibri" w:eastAsia="Calibri" w:hAnsi="Calibri"/>
                <w:b/>
                <w:bCs/>
                <w:color w:val="1F1F1F"/>
                <w:sz w:val="22"/>
                <w:szCs w:val="22"/>
              </w:rPr>
              <w:t xml:space="preserve">ConformityStatus</w:t>
            </w:r>
          </w:p>
        </w:tc>
        <w:tc>
          <w:tcPr>
            <w:tcW w:type="dxa" w:w="6240"/>
            <w:tcBorders>
              <w:top w:val="single" w:color="D0D0D0" w:sz="4"/>
              <w:left w:val="single" w:color="D0D0D0" w:sz="4"/>
              <w:bottom w:val="single" w:color="D0D0D0" w:sz="4"/>
              <w:right w:val="single" w:color="D0D0D0" w:sz="4"/>
            </w:tcBorders>
            <w:shd w:fill="F5F5F0" w:color="auto" w:val="clear"/>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F1F1F"/>
                <w:sz w:val="22"/>
                <w:szCs w:val="22"/>
              </w:rPr>
              <w:t xml:space="preserve">Seven values capturing the property's conformity state, including the mandatory CONFORMITY_INDETERMINATE fallback</w:t>
            </w:r>
          </w:p>
        </w:tc>
      </w:tr>
      <w:tr>
        <w:tc>
          <w:tcPr>
            <w:tcW w:type="dxa" w:w="3120"/>
            <w:tcBorders>
              <w:top w:val="single" w:color="D0D0D0" w:sz="4"/>
              <w:left w:val="single" w:color="D0D0D0" w:sz="4"/>
              <w:bottom w:val="single" w:color="D0D0D0" w:sz="4"/>
              <w:right w:val="single" w:color="D0D0D0" w:sz="4"/>
            </w:tcBorders>
            <w:tcMar>
              <w:top w:type="dxa" w:w="100"/>
              <w:left w:type="dxa" w:w="140"/>
              <w:bottom w:type="dxa" w:w="100"/>
              <w:right w:type="dxa" w:w="140"/>
            </w:tcMar>
            <w:vAlign w:val="center"/>
          </w:tcPr>
          <w:p>
            <w:pPr>
              <w:spacing w:after="0" w:before="0"/>
              <w:jc w:val="left"/>
            </w:pPr>
            <w:r>
              <w:rPr>
                <w:rFonts w:ascii="Calibri" w:cs="Calibri" w:eastAsia="Calibri" w:hAnsi="Calibri"/>
                <w:b/>
                <w:bCs/>
                <w:color w:val="1F1F1F"/>
                <w:sz w:val="22"/>
                <w:szCs w:val="22"/>
              </w:rPr>
              <w:t xml:space="preserve">ConfidenceLevel</w:t>
            </w:r>
          </w:p>
        </w:tc>
        <w:tc>
          <w:tcPr>
            <w:tcW w:type="dxa" w:w="6240"/>
            <w:tcBorders>
              <w:top w:val="single" w:color="D0D0D0" w:sz="4"/>
              <w:left w:val="single" w:color="D0D0D0" w:sz="4"/>
              <w:bottom w:val="single" w:color="D0D0D0" w:sz="4"/>
              <w:right w:val="single" w:color="D0D0D0" w:sz="4"/>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F1F1F"/>
                <w:sz w:val="22"/>
                <w:szCs w:val="22"/>
              </w:rPr>
              <w:t xml:space="preserve">Four values driving the confidence gate decision: HIGH, MEDIUM, LOW, INDETERMINATE</w:t>
            </w:r>
          </w:p>
        </w:tc>
      </w:tr>
      <w:tr>
        <w:tc>
          <w:tcPr>
            <w:tcW w:type="dxa" w:w="3120"/>
            <w:tcBorders>
              <w:top w:val="single" w:color="D0D0D0" w:sz="4"/>
              <w:left w:val="single" w:color="D0D0D0" w:sz="4"/>
              <w:bottom w:val="single" w:color="D0D0D0" w:sz="4"/>
              <w:right w:val="single" w:color="D0D0D0" w:sz="4"/>
            </w:tcBorders>
            <w:tcMar>
              <w:top w:type="dxa" w:w="100"/>
              <w:left w:type="dxa" w:w="140"/>
              <w:bottom w:type="dxa" w:w="100"/>
              <w:right w:type="dxa" w:w="140"/>
            </w:tcMar>
            <w:vAlign w:val="center"/>
          </w:tcPr>
          <w:p>
            <w:pPr>
              <w:spacing w:after="0" w:before="0"/>
              <w:jc w:val="left"/>
            </w:pPr>
            <w:r>
              <w:rPr>
                <w:rFonts w:ascii="Calibri" w:cs="Calibri" w:eastAsia="Calibri" w:hAnsi="Calibri"/>
                <w:b/>
                <w:bCs/>
                <w:color w:val="1F1F1F"/>
                <w:sz w:val="22"/>
                <w:szCs w:val="22"/>
              </w:rPr>
              <w:t xml:space="preserve">ScenarioVerdict</w:t>
            </w:r>
          </w:p>
        </w:tc>
        <w:tc>
          <w:tcPr>
            <w:tcW w:type="dxa" w:w="6240"/>
            <w:tcBorders>
              <w:top w:val="single" w:color="D0D0D0" w:sz="4"/>
              <w:left w:val="single" w:color="D0D0D0" w:sz="4"/>
              <w:bottom w:val="single" w:color="D0D0D0" w:sz="4"/>
              <w:right w:val="single" w:color="D0D0D0" w:sz="4"/>
            </w:tcBorders>
            <w:shd w:fill="F5F5F0" w:color="auto" w:val="clear"/>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F1F1F"/>
                <w:sz w:val="22"/>
                <w:szCs w:val="22"/>
              </w:rPr>
              <w:t xml:space="preserve">Three values: PREFERRED (exactly one per deal), ALTERNATE, REJECT</w:t>
            </w:r>
          </w:p>
        </w:tc>
      </w:tr>
      <w:tr>
        <w:tc>
          <w:tcPr>
            <w:tcW w:type="dxa" w:w="3120"/>
            <w:tcBorders>
              <w:top w:val="single" w:color="D0D0D0" w:sz="4"/>
              <w:left w:val="single" w:color="D0D0D0" w:sz="4"/>
              <w:bottom w:val="single" w:color="D0D0D0" w:sz="4"/>
              <w:right w:val="single" w:color="D0D0D0" w:sz="4"/>
            </w:tcBorders>
            <w:tcMar>
              <w:top w:type="dxa" w:w="100"/>
              <w:left w:type="dxa" w:w="140"/>
              <w:bottom w:type="dxa" w:w="100"/>
              <w:right w:type="dxa" w:w="140"/>
            </w:tcMar>
            <w:vAlign w:val="center"/>
          </w:tcPr>
          <w:p>
            <w:pPr>
              <w:spacing w:after="0" w:before="0"/>
              <w:jc w:val="left"/>
            </w:pPr>
            <w:r>
              <w:rPr>
                <w:rFonts w:ascii="Calibri" w:cs="Calibri" w:eastAsia="Calibri" w:hAnsi="Calibri"/>
                <w:b/>
                <w:bCs/>
                <w:color w:val="1F1F1F"/>
                <w:sz w:val="22"/>
                <w:szCs w:val="22"/>
              </w:rPr>
              <w:t xml:space="preserve">ZoningPathwayType</w:t>
            </w:r>
          </w:p>
        </w:tc>
        <w:tc>
          <w:tcPr>
            <w:tcW w:type="dxa" w:w="6240"/>
            <w:tcBorders>
              <w:top w:val="single" w:color="D0D0D0" w:sz="4"/>
              <w:left w:val="single" w:color="D0D0D0" w:sz="4"/>
              <w:bottom w:val="single" w:color="D0D0D0" w:sz="4"/>
              <w:right w:val="single" w:color="D0D0D0" w:sz="4"/>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F1F1F"/>
                <w:sz w:val="22"/>
                <w:szCs w:val="22"/>
              </w:rPr>
              <w:t xml:space="preserve">Five values: BY_RIGHT, CONDITIONAL_USE, SPECIAL_EXCEPTION, VARIANCE, REZONE</w:t>
            </w:r>
          </w:p>
        </w:tc>
      </w:tr>
      <w:tr>
        <w:tc>
          <w:tcPr>
            <w:tcW w:type="dxa" w:w="3120"/>
            <w:tcBorders>
              <w:top w:val="single" w:color="D0D0D0" w:sz="4"/>
              <w:left w:val="single" w:color="D0D0D0" w:sz="4"/>
              <w:bottom w:val="single" w:color="D0D0D0" w:sz="4"/>
              <w:right w:val="single" w:color="D0D0D0" w:sz="4"/>
            </w:tcBorders>
            <w:tcMar>
              <w:top w:type="dxa" w:w="100"/>
              <w:left w:type="dxa" w:w="140"/>
              <w:bottom w:type="dxa" w:w="100"/>
              <w:right w:type="dxa" w:w="140"/>
            </w:tcMar>
            <w:vAlign w:val="center"/>
          </w:tcPr>
          <w:p>
            <w:pPr>
              <w:spacing w:after="0" w:before="0"/>
              <w:jc w:val="left"/>
            </w:pPr>
            <w:r>
              <w:rPr>
                <w:rFonts w:ascii="Calibri" w:cs="Calibri" w:eastAsia="Calibri" w:hAnsi="Calibri"/>
                <w:b/>
                <w:bCs/>
                <w:color w:val="1F1F1F"/>
                <w:sz w:val="22"/>
                <w:szCs w:val="22"/>
              </w:rPr>
              <w:t xml:space="preserve">NonconformityType</w:t>
            </w:r>
          </w:p>
        </w:tc>
        <w:tc>
          <w:tcPr>
            <w:tcW w:type="dxa" w:w="6240"/>
            <w:tcBorders>
              <w:top w:val="single" w:color="D0D0D0" w:sz="4"/>
              <w:left w:val="single" w:color="D0D0D0" w:sz="4"/>
              <w:bottom w:val="single" w:color="D0D0D0" w:sz="4"/>
              <w:right w:val="single" w:color="D0D0D0" w:sz="4"/>
            </w:tcBorders>
            <w:shd w:fill="F5F5F0" w:color="auto" w:val="clear"/>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F1F1F"/>
                <w:sz w:val="22"/>
                <w:szCs w:val="22"/>
              </w:rPr>
              <w:t xml:space="preserve">Eight values for the specific zoning dimension along which a property fails to conform</w:t>
            </w:r>
          </w:p>
        </w:tc>
      </w:tr>
    </w:tbl>
    <w:p>
      <w:pPr>
        <w:spacing w:after="120" w:before="120"/>
      </w:pPr>
      <w:r>
        <w:rPr>
          <w:rFonts w:ascii="Calibri" w:cs="Calibri" w:eastAsia="Calibri" w:hAnsi="Calibri"/>
          <w:sz w:val="20"/>
          <w:szCs w:val="20"/>
        </w:rPr>
        <w:t xml:space="preserve"/>
      </w:r>
    </w:p>
    <w:p>
      <w:pPr>
        <w:spacing w:after="140" w:before="280"/>
      </w:pPr>
      <w:r>
        <w:rPr>
          <w:rFonts w:ascii="Calibri" w:cs="Calibri" w:eastAsia="Calibri" w:hAnsi="Calibri"/>
          <w:b/>
          <w:bCs/>
          <w:color w:val="1F1F1F"/>
          <w:sz w:val="32"/>
          <w:szCs w:val="32"/>
        </w:rPr>
        <w:t xml:space="preserve">7.2  New Top-Level Models</w:t>
      </w:r>
    </w:p>
    <w:p>
      <w:pPr>
        <w:spacing w:after="120" w:before="0" w:line="320"/>
        <w:jc w:val="left"/>
      </w:pPr>
      <w:r>
        <w:rPr>
          <w:rFonts w:ascii="Calibri" w:cs="Calibri" w:eastAsia="Calibri" w:hAnsi="Calibri"/>
          <w:b w:val="false"/>
          <w:bCs w:val="false"/>
          <w:i w:val="false"/>
          <w:iCs w:val="false"/>
          <w:color w:val="1F1F1F"/>
          <w:sz w:val="24"/>
          <w:szCs w:val="24"/>
        </w:rPr>
        <w:t xml:space="preserve">ConformityAssessment carries the headline status, confidence level, nonconformity details (a list of NonconformityItem records), grandfathering status (only present for nonconforming properties), risk summary, and required diligence actions. A model-level validator enforces semantic consistency between the status enum value and the other fields.</w:t>
      </w:r>
    </w:p>
    <w:p>
      <w:pPr>
        <w:spacing w:after="120" w:before="0" w:line="320"/>
        <w:jc w:val="left"/>
      </w:pPr>
      <w:r>
        <w:rPr>
          <w:rFonts w:ascii="Calibri" w:cs="Calibri" w:eastAsia="Calibri" w:hAnsi="Calibri"/>
          <w:b w:val="false"/>
          <w:bCs w:val="false"/>
          <w:i w:val="false"/>
          <w:iCs w:val="false"/>
          <w:color w:val="1F1F1F"/>
          <w:sz w:val="24"/>
          <w:szCs w:val="24"/>
        </w:rPr>
        <w:t xml:space="preserve">DevelopmentScenario carries identity (scenario_id, rank, name), thesis, verdict, physical configuration (unit count, building SF, use mix), operating strategy, zoning pathway, per-scenario assumption deltas (construction budget, rent percentage, timeline months), output references (financial outputs, Excel filename), and risk indicators. Field-level validators enforce snake_case scenario IDs, the thirty-character cap, and the rank-in-set-of-three rule.</w:t>
      </w:r>
    </w:p>
    <w:p>
      <w:pPr>
        <w:spacing w:after="120" w:before="0" w:line="320"/>
        <w:jc w:val="left"/>
      </w:pPr>
      <w:r>
        <w:rPr>
          <w:rFonts w:ascii="Calibri" w:cs="Calibri" w:eastAsia="Calibri" w:hAnsi="Calibri"/>
          <w:b w:val="false"/>
          <w:bCs w:val="false"/>
          <w:i w:val="false"/>
          <w:iCs w:val="false"/>
          <w:color w:val="1F1F1F"/>
          <w:sz w:val="24"/>
          <w:szCs w:val="24"/>
        </w:rPr>
        <w:t xml:space="preserve">ZoningExtensions carries the parcel-wide use flexibility score, overlay impact assessments, development upside metrics, the cross-scenario recommendation paragraph, and a foreign-key reference to the preferred scenario's ID. A field validator enforces the one-to-five flexibility score range.</w:t>
      </w:r>
    </w:p>
    <w:p>
      <w:pPr>
        <w:spacing w:after="140" w:before="280"/>
      </w:pPr>
      <w:r>
        <w:rPr>
          <w:rFonts w:ascii="Calibri" w:cs="Calibri" w:eastAsia="Calibri" w:hAnsi="Calibri"/>
          <w:b/>
          <w:bCs/>
          <w:color w:val="1F1F1F"/>
          <w:sz w:val="32"/>
          <w:szCs w:val="32"/>
        </w:rPr>
        <w:t xml:space="preserve">7.3  New Sub-Models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D0D0D0" w:sz="4"/>
              <w:left w:val="single" w:color="D0D0D0" w:sz="4"/>
              <w:bottom w:val="single" w:color="D0D0D0" w:sz="4"/>
              <w:right w:val="single" w:color="D0D0D0" w:sz="4"/>
            </w:tcBorders>
            <w:shd w:fill="4A6E50" w:color="auto" w:val="clear"/>
            <w:tcMar>
              <w:top w:type="dxa" w:w="100"/>
              <w:left w:type="dxa" w:w="140"/>
              <w:bottom w:type="dxa" w:w="100"/>
              <w:right w:type="dxa" w:w="140"/>
            </w:tcMar>
            <w:vAlign w:val="center"/>
          </w:tcPr>
          <w:p>
            <w:pPr>
              <w:spacing w:after="0" w:before="0"/>
              <w:jc w:val="left"/>
            </w:pPr>
            <w:r>
              <w:rPr>
                <w:rFonts w:ascii="Calibri" w:cs="Calibri" w:eastAsia="Calibri" w:hAnsi="Calibri"/>
                <w:b/>
                <w:bCs/>
                <w:color w:val="FFFFFF"/>
                <w:sz w:val="22"/>
                <w:szCs w:val="22"/>
              </w:rPr>
              <w:t xml:space="preserve">Sub-Model</w:t>
            </w:r>
          </w:p>
        </w:tc>
        <w:tc>
          <w:tcPr>
            <w:tcW w:type="dxa" w:w="6240"/>
            <w:tcBorders>
              <w:top w:val="single" w:color="D0D0D0" w:sz="4"/>
              <w:left w:val="single" w:color="D0D0D0" w:sz="4"/>
              <w:bottom w:val="single" w:color="D0D0D0" w:sz="4"/>
              <w:right w:val="single" w:color="D0D0D0" w:sz="4"/>
            </w:tcBorders>
            <w:shd w:fill="4A6E50" w:color="auto" w:val="clear"/>
            <w:tcMar>
              <w:top w:type="dxa" w:w="100"/>
              <w:left w:type="dxa" w:w="140"/>
              <w:bottom w:type="dxa" w:w="100"/>
              <w:right w:type="dxa" w:w="140"/>
            </w:tcMar>
            <w:vAlign w:val="center"/>
          </w:tcPr>
          <w:p>
            <w:pPr>
              <w:spacing w:after="0" w:before="0"/>
              <w:jc w:val="left"/>
            </w:pPr>
            <w:r>
              <w:rPr>
                <w:rFonts w:ascii="Calibri" w:cs="Calibri" w:eastAsia="Calibri" w:hAnsi="Calibri"/>
                <w:b/>
                <w:bCs/>
                <w:color w:val="FFFFFF"/>
                <w:sz w:val="22"/>
                <w:szCs w:val="22"/>
              </w:rPr>
              <w:t xml:space="preserve">Captures</w:t>
            </w:r>
          </w:p>
        </w:tc>
      </w:tr>
      <w:tr>
        <w:tc>
          <w:tcPr>
            <w:tcW w:type="dxa" w:w="3120"/>
            <w:tcBorders>
              <w:top w:val="single" w:color="D0D0D0" w:sz="4"/>
              <w:left w:val="single" w:color="D0D0D0" w:sz="4"/>
              <w:bottom w:val="single" w:color="D0D0D0" w:sz="4"/>
              <w:right w:val="single" w:color="D0D0D0" w:sz="4"/>
            </w:tcBorders>
            <w:tcMar>
              <w:top w:type="dxa" w:w="100"/>
              <w:left w:type="dxa" w:w="140"/>
              <w:bottom w:type="dxa" w:w="100"/>
              <w:right w:type="dxa" w:w="140"/>
            </w:tcMar>
            <w:vAlign w:val="center"/>
          </w:tcPr>
          <w:p>
            <w:pPr>
              <w:spacing w:after="0" w:before="0"/>
              <w:jc w:val="left"/>
            </w:pPr>
            <w:r>
              <w:rPr>
                <w:rFonts w:ascii="Calibri" w:cs="Calibri" w:eastAsia="Calibri" w:hAnsi="Calibri"/>
                <w:b/>
                <w:bCs/>
                <w:color w:val="1F1F1F"/>
                <w:sz w:val="22"/>
                <w:szCs w:val="22"/>
              </w:rPr>
              <w:t xml:space="preserve">NonconformityItem</w:t>
            </w:r>
          </w:p>
        </w:tc>
        <w:tc>
          <w:tcPr>
            <w:tcW w:type="dxa" w:w="6240"/>
            <w:tcBorders>
              <w:top w:val="single" w:color="D0D0D0" w:sz="4"/>
              <w:left w:val="single" w:color="D0D0D0" w:sz="4"/>
              <w:bottom w:val="single" w:color="D0D0D0" w:sz="4"/>
              <w:right w:val="single" w:color="D0D0D0" w:sz="4"/>
            </w:tcBorders>
            <w:shd w:fill="F5F5F0" w:color="auto" w:val="clear"/>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F1F1F"/>
                <w:sz w:val="22"/>
                <w:szCs w:val="22"/>
              </w:rPr>
              <w:t xml:space="preserve">A single nonconformity along a specific dimension, with existing value, permitted value, magnitude, and triggers for loss of grandfathering</w:t>
            </w:r>
          </w:p>
        </w:tc>
      </w:tr>
      <w:tr>
        <w:tc>
          <w:tcPr>
            <w:tcW w:type="dxa" w:w="3120"/>
            <w:tcBorders>
              <w:top w:val="single" w:color="D0D0D0" w:sz="4"/>
              <w:left w:val="single" w:color="D0D0D0" w:sz="4"/>
              <w:bottom w:val="single" w:color="D0D0D0" w:sz="4"/>
              <w:right w:val="single" w:color="D0D0D0" w:sz="4"/>
            </w:tcBorders>
            <w:tcMar>
              <w:top w:type="dxa" w:w="100"/>
              <w:left w:type="dxa" w:w="140"/>
              <w:bottom w:type="dxa" w:w="100"/>
              <w:right w:type="dxa" w:w="140"/>
            </w:tcMar>
            <w:vAlign w:val="center"/>
          </w:tcPr>
          <w:p>
            <w:pPr>
              <w:spacing w:after="0" w:before="0"/>
              <w:jc w:val="left"/>
            </w:pPr>
            <w:r>
              <w:rPr>
                <w:rFonts w:ascii="Calibri" w:cs="Calibri" w:eastAsia="Calibri" w:hAnsi="Calibri"/>
                <w:b/>
                <w:bCs/>
                <w:color w:val="1F1F1F"/>
                <w:sz w:val="22"/>
                <w:szCs w:val="22"/>
              </w:rPr>
              <w:t xml:space="preserve">GrandfatheringStatus</w:t>
            </w:r>
          </w:p>
        </w:tc>
        <w:tc>
          <w:tcPr>
            <w:tcW w:type="dxa" w:w="6240"/>
            <w:tcBorders>
              <w:top w:val="single" w:color="D0D0D0" w:sz="4"/>
              <w:left w:val="single" w:color="D0D0D0" w:sz="4"/>
              <w:bottom w:val="single" w:color="D0D0D0" w:sz="4"/>
              <w:right w:val="single" w:color="D0D0D0" w:sz="4"/>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F1F1F"/>
                <w:sz w:val="22"/>
                <w:szCs w:val="22"/>
              </w:rPr>
              <w:t xml:space="preserve">Documentation status, presumption basis, confirmation action required, and risk if denied</w:t>
            </w:r>
          </w:p>
        </w:tc>
      </w:tr>
      <w:tr>
        <w:tc>
          <w:tcPr>
            <w:tcW w:type="dxa" w:w="3120"/>
            <w:tcBorders>
              <w:top w:val="single" w:color="D0D0D0" w:sz="4"/>
              <w:left w:val="single" w:color="D0D0D0" w:sz="4"/>
              <w:bottom w:val="single" w:color="D0D0D0" w:sz="4"/>
              <w:right w:val="single" w:color="D0D0D0" w:sz="4"/>
            </w:tcBorders>
            <w:tcMar>
              <w:top w:type="dxa" w:w="100"/>
              <w:left w:type="dxa" w:w="140"/>
              <w:bottom w:type="dxa" w:w="100"/>
              <w:right w:type="dxa" w:w="140"/>
            </w:tcMar>
            <w:vAlign w:val="center"/>
          </w:tcPr>
          <w:p>
            <w:pPr>
              <w:spacing w:after="0" w:before="0"/>
              <w:jc w:val="left"/>
            </w:pPr>
            <w:r>
              <w:rPr>
                <w:rFonts w:ascii="Calibri" w:cs="Calibri" w:eastAsia="Calibri" w:hAnsi="Calibri"/>
                <w:b/>
                <w:bCs/>
                <w:color w:val="1F1F1F"/>
                <w:sz w:val="22"/>
                <w:szCs w:val="22"/>
              </w:rPr>
              <w:t xml:space="preserve">ZoningPathway</w:t>
            </w:r>
          </w:p>
        </w:tc>
        <w:tc>
          <w:tcPr>
            <w:tcW w:type="dxa" w:w="6240"/>
            <w:tcBorders>
              <w:top w:val="single" w:color="D0D0D0" w:sz="4"/>
              <w:left w:val="single" w:color="D0D0D0" w:sz="4"/>
              <w:bottom w:val="single" w:color="D0D0D0" w:sz="4"/>
              <w:right w:val="single" w:color="D0D0D0" w:sz="4"/>
            </w:tcBorders>
            <w:shd w:fill="F5F5F0" w:color="auto" w:val="clear"/>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F1F1F"/>
                <w:sz w:val="22"/>
                <w:szCs w:val="22"/>
              </w:rPr>
              <w:t xml:space="preserve">Pathway type, approval body, timeline, soft cost, success probability, fallback if denied</w:t>
            </w:r>
          </w:p>
        </w:tc>
      </w:tr>
      <w:tr>
        <w:tc>
          <w:tcPr>
            <w:tcW w:type="dxa" w:w="3120"/>
            <w:tcBorders>
              <w:top w:val="single" w:color="D0D0D0" w:sz="4"/>
              <w:left w:val="single" w:color="D0D0D0" w:sz="4"/>
              <w:bottom w:val="single" w:color="D0D0D0" w:sz="4"/>
              <w:right w:val="single" w:color="D0D0D0" w:sz="4"/>
            </w:tcBorders>
            <w:tcMar>
              <w:top w:type="dxa" w:w="100"/>
              <w:left w:type="dxa" w:w="140"/>
              <w:bottom w:type="dxa" w:w="100"/>
              <w:right w:type="dxa" w:w="140"/>
            </w:tcMar>
            <w:vAlign w:val="center"/>
          </w:tcPr>
          <w:p>
            <w:pPr>
              <w:spacing w:after="0" w:before="0"/>
              <w:jc w:val="left"/>
            </w:pPr>
            <w:r>
              <w:rPr>
                <w:rFonts w:ascii="Calibri" w:cs="Calibri" w:eastAsia="Calibri" w:hAnsi="Calibri"/>
                <w:b/>
                <w:bCs/>
                <w:color w:val="1F1F1F"/>
                <w:sz w:val="22"/>
                <w:szCs w:val="22"/>
              </w:rPr>
              <w:t xml:space="preserve">EntitlementRiskFlag</w:t>
            </w:r>
          </w:p>
        </w:tc>
        <w:tc>
          <w:tcPr>
            <w:tcW w:type="dxa" w:w="6240"/>
            <w:tcBorders>
              <w:top w:val="single" w:color="D0D0D0" w:sz="4"/>
              <w:left w:val="single" w:color="D0D0D0" w:sz="4"/>
              <w:bottom w:val="single" w:color="D0D0D0" w:sz="4"/>
              <w:right w:val="single" w:color="D0D0D0" w:sz="4"/>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F1F1F"/>
                <w:sz w:val="22"/>
                <w:szCs w:val="22"/>
              </w:rPr>
              <w:t xml:space="preserve">Severity, risk summary, and discrete diligence actions for scenarios where entitlement is at material risk</w:t>
            </w:r>
          </w:p>
        </w:tc>
      </w:tr>
      <w:tr>
        <w:tc>
          <w:tcPr>
            <w:tcW w:type="dxa" w:w="3120"/>
            <w:tcBorders>
              <w:top w:val="single" w:color="D0D0D0" w:sz="4"/>
              <w:left w:val="single" w:color="D0D0D0" w:sz="4"/>
              <w:bottom w:val="single" w:color="D0D0D0" w:sz="4"/>
              <w:right w:val="single" w:color="D0D0D0" w:sz="4"/>
            </w:tcBorders>
            <w:tcMar>
              <w:top w:type="dxa" w:w="100"/>
              <w:left w:type="dxa" w:w="140"/>
              <w:bottom w:type="dxa" w:w="100"/>
              <w:right w:type="dxa" w:w="140"/>
            </w:tcMar>
            <w:vAlign w:val="center"/>
          </w:tcPr>
          <w:p>
            <w:pPr>
              <w:spacing w:after="0" w:before="0"/>
              <w:jc w:val="left"/>
            </w:pPr>
            <w:r>
              <w:rPr>
                <w:rFonts w:ascii="Calibri" w:cs="Calibri" w:eastAsia="Calibri" w:hAnsi="Calibri"/>
                <w:b/>
                <w:bCs/>
                <w:color w:val="1F1F1F"/>
                <w:sz w:val="22"/>
                <w:szCs w:val="22"/>
              </w:rPr>
              <w:t xml:space="preserve">UseAllocation</w:t>
            </w:r>
          </w:p>
        </w:tc>
        <w:tc>
          <w:tcPr>
            <w:tcW w:type="dxa" w:w="6240"/>
            <w:tcBorders>
              <w:top w:val="single" w:color="D0D0D0" w:sz="4"/>
              <w:left w:val="single" w:color="D0D0D0" w:sz="4"/>
              <w:bottom w:val="single" w:color="D0D0D0" w:sz="4"/>
              <w:right w:val="single" w:color="D0D0D0" w:sz="4"/>
            </w:tcBorders>
            <w:shd w:fill="F5F5F0" w:color="auto" w:val="clear"/>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F1F1F"/>
                <w:sz w:val="22"/>
                <w:szCs w:val="22"/>
              </w:rPr>
              <w:t xml:space="preserve">How floor area in a scenario is allocated across use categories (mixed-use deals)</w:t>
            </w:r>
          </w:p>
        </w:tc>
      </w:tr>
      <w:tr>
        <w:tc>
          <w:tcPr>
            <w:tcW w:type="dxa" w:w="3120"/>
            <w:tcBorders>
              <w:top w:val="single" w:color="D0D0D0" w:sz="4"/>
              <w:left w:val="single" w:color="D0D0D0" w:sz="4"/>
              <w:bottom w:val="single" w:color="D0D0D0" w:sz="4"/>
              <w:right w:val="single" w:color="D0D0D0" w:sz="4"/>
            </w:tcBorders>
            <w:tcMar>
              <w:top w:type="dxa" w:w="100"/>
              <w:left w:type="dxa" w:w="140"/>
              <w:bottom w:type="dxa" w:w="100"/>
              <w:right w:type="dxa" w:w="140"/>
            </w:tcMar>
            <w:vAlign w:val="center"/>
          </w:tcPr>
          <w:p>
            <w:pPr>
              <w:spacing w:after="0" w:before="0"/>
              <w:jc w:val="left"/>
            </w:pPr>
            <w:r>
              <w:rPr>
                <w:rFonts w:ascii="Calibri" w:cs="Calibri" w:eastAsia="Calibri" w:hAnsi="Calibri"/>
                <w:b/>
                <w:bCs/>
                <w:color w:val="1F1F1F"/>
                <w:sz w:val="22"/>
                <w:szCs w:val="22"/>
              </w:rPr>
              <w:t xml:space="preserve">OverlayImpact</w:t>
            </w:r>
          </w:p>
        </w:tc>
        <w:tc>
          <w:tcPr>
            <w:tcW w:type="dxa" w:w="6240"/>
            <w:tcBorders>
              <w:top w:val="single" w:color="D0D0D0" w:sz="4"/>
              <w:left w:val="single" w:color="D0D0D0" w:sz="4"/>
              <w:bottom w:val="single" w:color="D0D0D0" w:sz="4"/>
              <w:right w:val="single" w:color="D0D0D0" w:sz="4"/>
            </w:tcBorders>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F1F1F"/>
                <w:sz w:val="22"/>
                <w:szCs w:val="22"/>
              </w:rPr>
              <w:t xml:space="preserve">How an overlay district affects development on the parcel, including whether it triggers additional review</w:t>
            </w:r>
          </w:p>
        </w:tc>
      </w:tr>
      <w:tr>
        <w:tc>
          <w:tcPr>
            <w:tcW w:type="dxa" w:w="3120"/>
            <w:tcBorders>
              <w:top w:val="single" w:color="D0D0D0" w:sz="4"/>
              <w:left w:val="single" w:color="D0D0D0" w:sz="4"/>
              <w:bottom w:val="single" w:color="D0D0D0" w:sz="4"/>
              <w:right w:val="single" w:color="D0D0D0" w:sz="4"/>
            </w:tcBorders>
            <w:tcMar>
              <w:top w:type="dxa" w:w="100"/>
              <w:left w:type="dxa" w:w="140"/>
              <w:bottom w:type="dxa" w:w="100"/>
              <w:right w:type="dxa" w:w="140"/>
            </w:tcMar>
            <w:vAlign w:val="center"/>
          </w:tcPr>
          <w:p>
            <w:pPr>
              <w:spacing w:after="0" w:before="0"/>
              <w:jc w:val="left"/>
            </w:pPr>
            <w:r>
              <w:rPr>
                <w:rFonts w:ascii="Calibri" w:cs="Calibri" w:eastAsia="Calibri" w:hAnsi="Calibri"/>
                <w:b/>
                <w:bCs/>
                <w:color w:val="1F1F1F"/>
                <w:sz w:val="22"/>
                <w:szCs w:val="22"/>
              </w:rPr>
              <w:t xml:space="preserve">DevelopmentUpside</w:t>
            </w:r>
          </w:p>
        </w:tc>
        <w:tc>
          <w:tcPr>
            <w:tcW w:type="dxa" w:w="6240"/>
            <w:tcBorders>
              <w:top w:val="single" w:color="D0D0D0" w:sz="4"/>
              <w:left w:val="single" w:color="D0D0D0" w:sz="4"/>
              <w:bottom w:val="single" w:color="D0D0D0" w:sz="4"/>
              <w:right w:val="single" w:color="D0D0D0" w:sz="4"/>
            </w:tcBorders>
            <w:shd w:fill="F5F5F0" w:color="auto" w:val="clear"/>
            <w:tcMar>
              <w:top w:type="dxa" w:w="100"/>
              <w:left w:type="dxa" w:w="140"/>
              <w:bottom w:type="dxa" w:w="100"/>
              <w:right w:type="dxa" w:w="140"/>
            </w:tcMar>
            <w:vAlign w:val="center"/>
          </w:tcPr>
          <w:p>
            <w:pPr>
              <w:spacing w:after="0" w:before="0"/>
              <w:jc w:val="left"/>
            </w:pPr>
            <w:r>
              <w:rPr>
                <w:rFonts w:ascii="Calibri" w:cs="Calibri" w:eastAsia="Calibri" w:hAnsi="Calibri"/>
                <w:b w:val="false"/>
                <w:bCs w:val="false"/>
                <w:color w:val="1F1F1F"/>
                <w:sz w:val="22"/>
                <w:szCs w:val="22"/>
              </w:rPr>
              <w:t xml:space="preserve">FAR remaining, units remaining, height remaining — quantifies unused entitlement capacity</w:t>
            </w:r>
          </w:p>
        </w:tc>
      </w:tr>
    </w:tbl>
    <w:p>
      <w:pPr>
        <w:spacing w:after="120" w:before="120"/>
      </w:pPr>
      <w:r>
        <w:rPr>
          <w:rFonts w:ascii="Calibri" w:cs="Calibri" w:eastAsia="Calibri" w:hAnsi="Calibri"/>
          <w:sz w:val="20"/>
          <w:szCs w:val="20"/>
        </w:rPr>
        <w:t xml:space="preserve"/>
      </w:r>
    </w:p>
    <w:p>
      <w:pPr>
        <w:spacing w:after="140" w:before="280"/>
      </w:pPr>
      <w:r>
        <w:rPr>
          <w:rFonts w:ascii="Calibri" w:cs="Calibri" w:eastAsia="Calibri" w:hAnsi="Calibri"/>
          <w:b/>
          <w:bCs/>
          <w:color w:val="1F1F1F"/>
          <w:sz w:val="32"/>
          <w:szCs w:val="32"/>
        </w:rPr>
        <w:t xml:space="preserve">7.4  Utility Function</w:t>
      </w:r>
    </w:p>
    <w:p>
      <w:pPr>
        <w:spacing w:after="120" w:before="0" w:line="320"/>
        <w:jc w:val="left"/>
      </w:pPr>
      <w:r>
        <w:rPr>
          <w:rFonts w:ascii="Calibri" w:cs="Calibri" w:eastAsia="Calibri" w:hAnsi="Calibri"/>
          <w:b w:val="false"/>
          <w:bCs w:val="false"/>
          <w:i w:val="false"/>
          <w:iCs w:val="false"/>
          <w:color w:val="1F1F1F"/>
          <w:sz w:val="24"/>
          <w:szCs w:val="24"/>
        </w:rPr>
        <w:t xml:space="preserve">mirror_preferred_to_legacy(deal) is the single sanctioned write path between the new scenarios list and the legacy deal.financial_outputs field. It validates that scenarios are populated, that exactly one scenario carries the PREFERRED verdict, and that the preferred scenario has financial outputs computed. It then copies the preferred scenario's outputs into the legacy field. Future code that needs to update the legacy field must go through this function.</w:t>
      </w:r>
    </w:p>
    <w:p>
      <w:r>
        <w:br w:type="page"/>
      </w:r>
    </w:p>
    <w:p>
      <w:pPr>
        <w:pBdr>
          <w:bottom w:val="single" w:color="4A6E50" w:sz="12" w:space="4"/>
        </w:pBdr>
        <w:spacing w:after="200" w:before="360"/>
      </w:pPr>
      <w:r>
        <w:rPr>
          <w:rFonts w:ascii="Calibri" w:cs="Calibri" w:eastAsia="Calibri" w:hAnsi="Calibri"/>
          <w:b/>
          <w:bCs/>
          <w:color w:val="4A6E50"/>
          <w:sz w:val="40"/>
          <w:szCs w:val="40"/>
        </w:rPr>
        <w:t xml:space="preserve">8.  Risks and Mitigations</w:t>
      </w:r>
    </w:p>
    <w:p>
      <w:pPr>
        <w:spacing w:after="120" w:before="0" w:line="320"/>
        <w:jc w:val="left"/>
      </w:pPr>
      <w:r>
        <w:rPr>
          <w:rFonts w:ascii="Calibri" w:cs="Calibri" w:eastAsia="Calibri" w:hAnsi="Calibri"/>
          <w:b w:val="false"/>
          <w:bCs w:val="false"/>
          <w:i w:val="false"/>
          <w:iCs w:val="false"/>
          <w:color w:val="1F1F1F"/>
          <w:sz w:val="24"/>
          <w:szCs w:val="24"/>
        </w:rPr>
        <w:t xml:space="preserve">Six material risks were identified during planning. Each has a defined mitigation.</w:t>
      </w:r>
    </w:p>
    <w:p>
      <w:pPr>
        <w:spacing w:after="140" w:before="280"/>
      </w:pPr>
      <w:r>
        <w:rPr>
          <w:rFonts w:ascii="Calibri" w:cs="Calibri" w:eastAsia="Calibri" w:hAnsi="Calibri"/>
          <w:b/>
          <w:bCs/>
          <w:color w:val="1F1F1F"/>
          <w:sz w:val="32"/>
          <w:szCs w:val="32"/>
        </w:rPr>
        <w:t xml:space="preserve">R1.  Prompt quality variance across deals</w:t>
      </w:r>
    </w:p>
    <w:p>
      <w:pPr>
        <w:spacing w:after="120" w:before="0" w:line="320"/>
        <w:jc w:val="left"/>
      </w:pPr>
      <w:r>
        <w:rPr>
          <w:rFonts w:ascii="Calibri" w:cs="Calibri" w:eastAsia="Calibri" w:hAnsi="Calibri"/>
          <w:b w:val="false"/>
          <w:bCs w:val="false"/>
          <w:i w:val="false"/>
          <w:iCs w:val="false"/>
          <w:color w:val="1F1F1F"/>
          <w:sz w:val="24"/>
          <w:szCs w:val="24"/>
        </w:rPr>
        <w:t xml:space="preserve">A prompt that performs well on one deal type may fail on a different deal type. The mitigation is to test all three new prompts against three reference deals — the 967-73 N. 9th Street mixed-use deal, a clean conforming multifamily deal, and a vacant land or pre-development deal — before approving the catalog. Manual review of test outputs occurs before code in Session 3 begins.</w:t>
      </w:r>
    </w:p>
    <w:p>
      <w:pPr>
        <w:spacing w:after="140" w:before="280"/>
      </w:pPr>
      <w:r>
        <w:rPr>
          <w:rFonts w:ascii="Calibri" w:cs="Calibri" w:eastAsia="Calibri" w:hAnsi="Calibri"/>
          <w:b/>
          <w:bCs/>
          <w:color w:val="1F1F1F"/>
          <w:sz w:val="32"/>
          <w:szCs w:val="32"/>
        </w:rPr>
        <w:t xml:space="preserve">R2.  Schema drift between new and legacy paths</w:t>
      </w:r>
    </w:p>
    <w:p>
      <w:pPr>
        <w:spacing w:after="120" w:before="0" w:line="320"/>
        <w:jc w:val="left"/>
      </w:pPr>
      <w:r>
        <w:rPr>
          <w:rFonts w:ascii="Calibri" w:cs="Calibri" w:eastAsia="Calibri" w:hAnsi="Calibri"/>
          <w:b w:val="false"/>
          <w:bCs w:val="false"/>
          <w:i w:val="false"/>
          <w:iCs w:val="false"/>
          <w:color w:val="1F1F1F"/>
          <w:sz w:val="24"/>
          <w:szCs w:val="24"/>
        </w:rPr>
        <w:t xml:space="preserve">If future code accidentally writes to deal.financial_outputs directly, bypassing the scenarios list, the two structures could drift out of sync. The mitigation is the mirror_preferred_to_legacy utility as the only sanctioned write path, an inline comment in models.py flagging the legacy field as derived, and code review checks for direct writes.</w:t>
      </w:r>
    </w:p>
    <w:p>
      <w:pPr>
        <w:spacing w:after="140" w:before="280"/>
      </w:pPr>
      <w:r>
        <w:rPr>
          <w:rFonts w:ascii="Calibri" w:cs="Calibri" w:eastAsia="Calibri" w:hAnsi="Calibri"/>
          <w:b/>
          <w:bCs/>
          <w:color w:val="1F1F1F"/>
          <w:sz w:val="32"/>
          <w:szCs w:val="32"/>
        </w:rPr>
        <w:t xml:space="preserve">R3.  Excel filename collisions</w:t>
      </w:r>
    </w:p>
    <w:p>
      <w:pPr>
        <w:spacing w:after="120" w:before="0" w:line="320"/>
        <w:jc w:val="left"/>
      </w:pPr>
      <w:r>
        <w:rPr>
          <w:rFonts w:ascii="Calibri" w:cs="Calibri" w:eastAsia="Calibri" w:hAnsi="Calibri"/>
          <w:b w:val="false"/>
          <w:bCs w:val="false"/>
          <w:i w:val="false"/>
          <w:iCs w:val="false"/>
          <w:color w:val="1F1F1F"/>
          <w:sz w:val="24"/>
          <w:szCs w:val="24"/>
        </w:rPr>
        <w:t xml:space="preserve">If two scenarios on the same deal generate identical descriptors, the second file would overwrite the first. The mitigation is a uniqueness check in the filename generator that appends a version suffix if a collision is detected.</w:t>
      </w:r>
    </w:p>
    <w:p>
      <w:pPr>
        <w:spacing w:after="140" w:before="280"/>
      </w:pPr>
      <w:r>
        <w:rPr>
          <w:rFonts w:ascii="Calibri" w:cs="Calibri" w:eastAsia="Calibri" w:hAnsi="Calibri"/>
          <w:b/>
          <w:bCs/>
          <w:color w:val="1F1F1F"/>
          <w:sz w:val="32"/>
          <w:szCs w:val="32"/>
        </w:rPr>
        <w:t xml:space="preserve">R4.  Runtime regression</w:t>
      </w:r>
    </w:p>
    <w:p>
      <w:pPr>
        <w:spacing w:after="120" w:before="0" w:line="320"/>
        <w:jc w:val="left"/>
      </w:pPr>
      <w:r>
        <w:rPr>
          <w:rFonts w:ascii="Calibri" w:cs="Calibri" w:eastAsia="Calibri" w:hAnsi="Calibri"/>
          <w:b w:val="false"/>
          <w:bCs w:val="false"/>
          <w:i w:val="false"/>
          <w:iCs w:val="false"/>
          <w:color w:val="1F1F1F"/>
          <w:sz w:val="24"/>
          <w:szCs w:val="24"/>
        </w:rPr>
        <w:t xml:space="preserve">Multi-scenario fan-out triples financial pipeline runtime. Three prompts replace one in market.py. Total deal runtime could grow from approximately thirty seconds to seventy-five seconds. The mitigation is a runtime gate criterion in Session 4: total deal runtime must remain under one hundred twenty seconds, with a target of ninety. If exceeded, profiling and optimization happen before passing the gate.</w:t>
      </w:r>
    </w:p>
    <w:p>
      <w:pPr>
        <w:spacing w:after="140" w:before="280"/>
      </w:pPr>
      <w:r>
        <w:rPr>
          <w:rFonts w:ascii="Calibri" w:cs="Calibri" w:eastAsia="Calibri" w:hAnsi="Calibri"/>
          <w:b/>
          <w:bCs/>
          <w:color w:val="1F1F1F"/>
          <w:sz w:val="32"/>
          <w:szCs w:val="32"/>
        </w:rPr>
        <w:t xml:space="preserve">R5.  Session continuity loss</w:t>
      </w:r>
    </w:p>
    <w:p>
      <w:pPr>
        <w:spacing w:after="120" w:before="0" w:line="320"/>
        <w:jc w:val="left"/>
      </w:pPr>
      <w:r>
        <w:rPr>
          <w:rFonts w:ascii="Calibri" w:cs="Calibri" w:eastAsia="Calibri" w:hAnsi="Calibri"/>
          <w:b w:val="false"/>
          <w:bCs w:val="false"/>
          <w:i w:val="false"/>
          <w:iCs w:val="false"/>
          <w:color w:val="1F1F1F"/>
          <w:sz w:val="24"/>
          <w:szCs w:val="24"/>
        </w:rPr>
        <w:t xml:space="preserve">Five sessions across multiple weeks means five different Claude instances. A new instance starting a session without reading the master plan could make inconsistent decisions. The mitigation is the master plan document itself, which explicitly states it must be read at session start, and Mike's first message in any new session referencing the plan file by absolute path.</w:t>
      </w:r>
    </w:p>
    <w:p>
      <w:pPr>
        <w:spacing w:after="140" w:before="280"/>
      </w:pPr>
      <w:r>
        <w:rPr>
          <w:rFonts w:ascii="Calibri" w:cs="Calibri" w:eastAsia="Calibri" w:hAnsi="Calibri"/>
          <w:b/>
          <w:bCs/>
          <w:color w:val="1F1F1F"/>
          <w:sz w:val="32"/>
          <w:szCs w:val="32"/>
        </w:rPr>
        <w:t xml:space="preserve">R6.  Backward compatibility breakage</w:t>
      </w:r>
    </w:p>
    <w:p>
      <w:pPr>
        <w:spacing w:after="120" w:before="0" w:line="320"/>
        <w:jc w:val="left"/>
      </w:pPr>
      <w:r>
        <w:rPr>
          <w:rFonts w:ascii="Calibri" w:cs="Calibri" w:eastAsia="Calibri" w:hAnsi="Calibri"/>
          <w:b w:val="false"/>
          <w:bCs w:val="false"/>
          <w:i w:val="false"/>
          <w:iCs w:val="false"/>
          <w:color w:val="1F1F1F"/>
          <w:sz w:val="24"/>
          <w:szCs w:val="24"/>
        </w:rPr>
        <w:t xml:space="preserve">Each session's changes could break existing single-scenario deal processing or existing report sections. The mitigation is each session's gate criteria including a backward compatibility check, and tagging the repository at each gate pass for clean rollback if needed.</w:t>
      </w:r>
    </w:p>
    <w:p>
      <w:r>
        <w:br w:type="page"/>
      </w:r>
    </w:p>
    <w:p>
      <w:pPr>
        <w:pBdr>
          <w:bottom w:val="single" w:color="4A6E50" w:sz="12" w:space="4"/>
        </w:pBdr>
        <w:spacing w:after="200" w:before="360"/>
      </w:pPr>
      <w:r>
        <w:rPr>
          <w:rFonts w:ascii="Calibri" w:cs="Calibri" w:eastAsia="Calibri" w:hAnsi="Calibri"/>
          <w:b/>
          <w:bCs/>
          <w:color w:val="4A6E50"/>
          <w:sz w:val="40"/>
          <w:szCs w:val="40"/>
        </w:rPr>
        <w:t xml:space="preserve">9.  Multi-Session Continuity Protocol</w:t>
      </w:r>
    </w:p>
    <w:p>
      <w:pPr>
        <w:spacing w:after="120" w:before="0" w:line="320"/>
        <w:jc w:val="left"/>
      </w:pPr>
      <w:r>
        <w:rPr>
          <w:rFonts w:ascii="Calibri" w:cs="Calibri" w:eastAsia="Calibri" w:hAnsi="Calibri"/>
          <w:b w:val="false"/>
          <w:bCs w:val="false"/>
          <w:i w:val="false"/>
          <w:iCs w:val="false"/>
          <w:color w:val="1F1F1F"/>
          <w:sz w:val="24"/>
          <w:szCs w:val="24"/>
        </w:rPr>
        <w:t xml:space="preserve">Because this build spans five sessions and multiple weeks, with each session being a separate Claude instance with no memory of prior sessions, the operational protocol for maintaining continuity is itself part of the design.</w:t>
      </w:r>
    </w:p>
    <w:p>
      <w:pPr>
        <w:spacing w:after="140" w:before="280"/>
      </w:pPr>
      <w:r>
        <w:rPr>
          <w:rFonts w:ascii="Calibri" w:cs="Calibri" w:eastAsia="Calibri" w:hAnsi="Calibri"/>
          <w:b/>
          <w:bCs/>
          <w:color w:val="1F1F1F"/>
          <w:sz w:val="32"/>
          <w:szCs w:val="32"/>
        </w:rPr>
        <w:t xml:space="preserve">9.1  The master plan document</w:t>
      </w:r>
    </w:p>
    <w:p>
      <w:pPr>
        <w:spacing w:after="120" w:before="0" w:line="320"/>
        <w:jc w:val="left"/>
      </w:pPr>
      <w:r>
        <w:rPr>
          <w:rFonts w:ascii="Calibri" w:cs="Calibri" w:eastAsia="Calibri" w:hAnsi="Calibri"/>
          <w:b w:val="false"/>
          <w:bCs w:val="false"/>
          <w:i w:val="false"/>
          <w:iCs w:val="false"/>
          <w:color w:val="1F1F1F"/>
          <w:sz w:val="24"/>
          <w:szCs w:val="24"/>
        </w:rPr>
        <w:t xml:space="preserve">DealDesk_Zoning_Overhaul_Plan.md lives in the project at C:\Users\mikea\dealdesk\. It records the locked design decisions, the session-by-session deliverables, the gate criteria, the open issues, and the session history log. It is the single source of truth for the build.</w:t>
      </w:r>
    </w:p>
    <w:p>
      <w:pPr>
        <w:spacing w:after="140" w:before="280"/>
      </w:pPr>
      <w:r>
        <w:rPr>
          <w:rFonts w:ascii="Calibri" w:cs="Calibri" w:eastAsia="Calibri" w:hAnsi="Calibri"/>
          <w:b/>
          <w:bCs/>
          <w:color w:val="1F1F1F"/>
          <w:sz w:val="32"/>
          <w:szCs w:val="32"/>
        </w:rPr>
        <w:t xml:space="preserve">9.2  Session start protocol</w:t>
      </w:r>
    </w:p>
    <w:p>
      <w:pPr>
        <w:spacing w:after="120" w:before="0" w:line="320"/>
        <w:jc w:val="left"/>
      </w:pPr>
      <w:r>
        <w:rPr>
          <w:rFonts w:ascii="Calibri" w:cs="Calibri" w:eastAsia="Calibri" w:hAnsi="Calibri"/>
          <w:b w:val="false"/>
          <w:bCs w:val="false"/>
          <w:i w:val="false"/>
          <w:iCs w:val="false"/>
          <w:color w:val="1F1F1F"/>
          <w:sz w:val="24"/>
          <w:szCs w:val="24"/>
        </w:rPr>
        <w:t xml:space="preserve">At the start of every Claude Code session, the working Claude instance reads the master plan in full, confirms which session is active by checking the status table, confirms all prior gates are marked PASSED, and confirms the current session's deliverables before starting work. Mike's first message in any new session should reference the master plan file by absolute path.</w:t>
      </w:r>
    </w:p>
    <w:p>
      <w:pPr>
        <w:spacing w:after="140" w:before="280"/>
      </w:pPr>
      <w:r>
        <w:rPr>
          <w:rFonts w:ascii="Calibri" w:cs="Calibri" w:eastAsia="Calibri" w:hAnsi="Calibri"/>
          <w:b/>
          <w:bCs/>
          <w:color w:val="1F1F1F"/>
          <w:sz w:val="32"/>
          <w:szCs w:val="32"/>
        </w:rPr>
        <w:t xml:space="preserve">9.3  Session end protocol</w:t>
      </w:r>
    </w:p>
    <w:p>
      <w:pPr>
        <w:spacing w:after="120" w:before="0" w:line="320"/>
        <w:jc w:val="left"/>
      </w:pPr>
      <w:r>
        <w:rPr>
          <w:rFonts w:ascii="Calibri" w:cs="Calibri" w:eastAsia="Calibri" w:hAnsi="Calibri"/>
          <w:b w:val="false"/>
          <w:bCs w:val="false"/>
          <w:i w:val="false"/>
          <w:iCs w:val="false"/>
          <w:color w:val="1F1F1F"/>
          <w:sz w:val="24"/>
          <w:szCs w:val="24"/>
        </w:rPr>
        <w:t xml:space="preserve">At the end of every session, the working Claude instance updates the status table with the gate verdict, appends a timestamped entry to the session history log, captures any open issues or carry-forward notes, and commits the master plan changes alongside the code changes.</w:t>
      </w:r>
    </w:p>
    <w:p>
      <w:pPr>
        <w:spacing w:after="140" w:before="280"/>
      </w:pPr>
      <w:r>
        <w:rPr>
          <w:rFonts w:ascii="Calibri" w:cs="Calibri" w:eastAsia="Calibri" w:hAnsi="Calibri"/>
          <w:b/>
          <w:bCs/>
          <w:color w:val="1F1F1F"/>
          <w:sz w:val="32"/>
          <w:szCs w:val="32"/>
        </w:rPr>
        <w:t xml:space="preserve">9.4  Word checkpoint cadence</w:t>
      </w:r>
    </w:p>
    <w:p>
      <w:pPr>
        <w:spacing w:after="120" w:before="0" w:line="320"/>
        <w:jc w:val="left"/>
      </w:pPr>
      <w:r>
        <w:rPr>
          <w:rFonts w:ascii="Calibri" w:cs="Calibri" w:eastAsia="Calibri" w:hAnsi="Calibri"/>
          <w:b w:val="false"/>
          <w:bCs w:val="false"/>
          <w:i w:val="false"/>
          <w:iCs w:val="false"/>
          <w:color w:val="1F1F1F"/>
          <w:sz w:val="24"/>
          <w:szCs w:val="24"/>
        </w:rPr>
        <w:t xml:space="preserve">This Word document is produced once at the start of the build (now) and again at the completion of Sessions 2 and 5 to provide clean shareable checkpoints for Mike's records and external stakeholders. The markdown master plan is the live working document; the Word checkpoints are formal records.</w:t>
      </w:r>
    </w:p>
    <w:p>
      <w:r>
        <w:br w:type="page"/>
      </w:r>
    </w:p>
    <w:p>
      <w:pPr>
        <w:pBdr>
          <w:bottom w:val="single" w:color="4A6E50" w:sz="12" w:space="4"/>
        </w:pBdr>
        <w:spacing w:after="200" w:before="360"/>
      </w:pPr>
      <w:r>
        <w:rPr>
          <w:rFonts w:ascii="Calibri" w:cs="Calibri" w:eastAsia="Calibri" w:hAnsi="Calibri"/>
          <w:b/>
          <w:bCs/>
          <w:color w:val="4A6E50"/>
          <w:sz w:val="40"/>
          <w:szCs w:val="40"/>
        </w:rPr>
        <w:t xml:space="preserve">10.  Next Steps</w:t>
      </w:r>
    </w:p>
    <w:p>
      <w:pPr>
        <w:spacing w:after="120" w:before="0" w:line="320"/>
        <w:jc w:val="left"/>
      </w:pPr>
      <w:r>
        <w:rPr>
          <w:rFonts w:ascii="Calibri" w:cs="Calibri" w:eastAsia="Calibri" w:hAnsi="Calibri"/>
          <w:b w:val="false"/>
          <w:bCs w:val="false"/>
          <w:i w:val="false"/>
          <w:iCs w:val="false"/>
          <w:color w:val="1F1F1F"/>
          <w:sz w:val="24"/>
          <w:szCs w:val="24"/>
        </w:rPr>
        <w:t xml:space="preserve">Three immediate actions are required before Session 1 begins in Claude Code.</w:t>
      </w:r>
    </w:p>
    <w:p>
      <w:pPr>
        <w:spacing w:after="140" w:before="280"/>
      </w:pPr>
      <w:r>
        <w:rPr>
          <w:rFonts w:ascii="Calibri" w:cs="Calibri" w:eastAsia="Calibri" w:hAnsi="Calibri"/>
          <w:b/>
          <w:bCs/>
          <w:color w:val="1F1F1F"/>
          <w:sz w:val="32"/>
          <w:szCs w:val="32"/>
        </w:rPr>
        <w:t xml:space="preserve">Action 1.  Place the master plan document</w:t>
      </w:r>
    </w:p>
    <w:p>
      <w:pPr>
        <w:spacing w:after="120" w:before="0" w:line="320"/>
        <w:jc w:val="left"/>
      </w:pPr>
      <w:r>
        <w:rPr>
          <w:rFonts w:ascii="Calibri" w:cs="Calibri" w:eastAsia="Calibri" w:hAnsi="Calibri"/>
          <w:b w:val="false"/>
          <w:bCs w:val="false"/>
          <w:i w:val="false"/>
          <w:iCs w:val="false"/>
          <w:color w:val="1F1F1F"/>
          <w:sz w:val="24"/>
          <w:szCs w:val="24"/>
        </w:rPr>
        <w:t xml:space="preserve">Save DealDesk_Zoning_Overhaul_Plan.md to C:\Users\mikea\dealdesk\. This is the file that every session reads at start. Commit it to git with the message: docs: add zoning overhaul master plan (Session 0).</w:t>
      </w:r>
    </w:p>
    <w:p>
      <w:pPr>
        <w:spacing w:after="140" w:before="280"/>
      </w:pPr>
      <w:r>
        <w:rPr>
          <w:rFonts w:ascii="Calibri" w:cs="Calibri" w:eastAsia="Calibri" w:hAnsi="Calibri"/>
          <w:b/>
          <w:bCs/>
          <w:color w:val="1F1F1F"/>
          <w:sz w:val="32"/>
          <w:szCs w:val="32"/>
        </w:rPr>
        <w:t xml:space="preserve">Action 2.  Place the Session 1 schema specification</w:t>
      </w:r>
    </w:p>
    <w:p>
      <w:pPr>
        <w:spacing w:after="120" w:before="0" w:line="320"/>
        <w:jc w:val="left"/>
      </w:pPr>
      <w:r>
        <w:rPr>
          <w:rFonts w:ascii="Calibri" w:cs="Calibri" w:eastAsia="Calibri" w:hAnsi="Calibri"/>
          <w:b w:val="false"/>
          <w:bCs w:val="false"/>
          <w:i w:val="false"/>
          <w:iCs w:val="false"/>
          <w:color w:val="1F1F1F"/>
          <w:sz w:val="24"/>
          <w:szCs w:val="24"/>
        </w:rPr>
        <w:t xml:space="preserve">Save Session_1_Schema_Design.md to the same project directory. This is the spec the Session 1 Claude Code instance reads to implement the schema. Commit alongside the master plan.</w:t>
      </w:r>
    </w:p>
    <w:p>
      <w:pPr>
        <w:spacing w:after="140" w:before="280"/>
      </w:pPr>
      <w:r>
        <w:rPr>
          <w:rFonts w:ascii="Calibri" w:cs="Calibri" w:eastAsia="Calibri" w:hAnsi="Calibri"/>
          <w:b/>
          <w:bCs/>
          <w:color w:val="1F1F1F"/>
          <w:sz w:val="32"/>
          <w:szCs w:val="32"/>
        </w:rPr>
        <w:t xml:space="preserve">Action 3.  Identify reference deals B and C</w:t>
      </w:r>
    </w:p>
    <w:p>
      <w:pPr>
        <w:spacing w:after="120" w:before="0" w:line="320"/>
        <w:jc w:val="left"/>
      </w:pPr>
      <w:r>
        <w:rPr>
          <w:rFonts w:ascii="Calibri" w:cs="Calibri" w:eastAsia="Calibri" w:hAnsi="Calibri"/>
          <w:b w:val="false"/>
          <w:bCs w:val="false"/>
          <w:i w:val="false"/>
          <w:iCs w:val="false"/>
          <w:color w:val="1F1F1F"/>
          <w:sz w:val="24"/>
          <w:szCs w:val="24"/>
        </w:rPr>
        <w:t xml:space="preserve">Before Session 2 begins, Mike identifies the addresses for Deal B (clean conforming multifamily) and Deal C (vacant land or pre-development). These two deals plus the existing 967-73 N. 9th Street mixed-use deal form the regression test set used across all five sessions. Without all three, Session 2 prompt approval cannot proceed.</w:t>
      </w:r>
    </w:p>
    <w:p>
      <w:pPr>
        <w:spacing w:after="140" w:before="280"/>
      </w:pPr>
      <w:r>
        <w:rPr>
          <w:rFonts w:ascii="Calibri" w:cs="Calibri" w:eastAsia="Calibri" w:hAnsi="Calibri"/>
          <w:b/>
          <w:bCs/>
          <w:color w:val="1F1F1F"/>
          <w:sz w:val="32"/>
          <w:szCs w:val="32"/>
        </w:rPr>
        <w:t xml:space="preserve">Then begin Session 1</w:t>
      </w:r>
    </w:p>
    <w:p>
      <w:pPr>
        <w:spacing w:after="120" w:before="0" w:line="320"/>
        <w:jc w:val="left"/>
      </w:pPr>
      <w:r>
        <w:rPr>
          <w:rFonts w:ascii="Calibri" w:cs="Calibri" w:eastAsia="Calibri" w:hAnsi="Calibri"/>
          <w:b w:val="false"/>
          <w:bCs w:val="false"/>
          <w:i w:val="false"/>
          <w:iCs w:val="false"/>
          <w:color w:val="1F1F1F"/>
          <w:sz w:val="24"/>
          <w:szCs w:val="24"/>
        </w:rPr>
        <w:t xml:space="preserve">Open Claude Code in the dealdesk project. The opening message should read: "Read DealDesk_Zoning_Overhaul_Plan.md and Session_1_Schema_Design.md in full. Confirm understanding. Then implement Session 1 in models.py." The session is complete when all gate criteria from Section 6 of this document are verified.</w:t>
      </w:r>
    </w:p>
    <w:p>
      <w:pPr>
        <w:spacing w:after="120" w:before="120"/>
      </w:pPr>
      <w:r>
        <w:rPr>
          <w:rFonts w:ascii="Calibri" w:cs="Calibri" w:eastAsia="Calibri" w:hAnsi="Calibri"/>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E50" w:sz="4"/>
              <w:left w:val="single" w:color="4A6E50" w:sz="4"/>
              <w:bottom w:val="single" w:color="4A6E50" w:sz="4"/>
              <w:right w:val="single" w:color="4A6E50" w:sz="4"/>
            </w:tcBorders>
            <w:shd w:fill="F5EFE4" w:color="auto" w:val="clear"/>
            <w:tcMar>
              <w:top w:type="dxa" w:w="200"/>
              <w:left w:type="dxa" w:w="240"/>
              <w:bottom w:type="dxa" w:w="200"/>
              <w:right w:type="dxa" w:w="240"/>
            </w:tcMar>
          </w:tcPr>
          <w:p>
            <w:pPr>
              <w:spacing w:after="80" w:before="0"/>
            </w:pPr>
            <w:r>
              <w:rPr>
                <w:rFonts w:ascii="Calibri" w:cs="Calibri" w:eastAsia="Calibri" w:hAnsi="Calibri"/>
                <w:b/>
                <w:bCs/>
                <w:color w:val="4A6E50"/>
                <w:sz w:val="24"/>
                <w:szCs w:val="24"/>
              </w:rPr>
              <w:t xml:space="preserve">Closing thought</w:t>
            </w:r>
          </w:p>
          <w:p>
            <w:pPr>
              <w:spacing w:after="0" w:before="0" w:line="320"/>
            </w:pPr>
            <w:r>
              <w:rPr>
                <w:rFonts w:ascii="Calibri" w:cs="Calibri" w:eastAsia="Calibri" w:hAnsi="Calibri"/>
                <w:color w:val="1F1F1F"/>
                <w:sz w:val="24"/>
                <w:szCs w:val="24"/>
              </w:rPr>
              <w:t xml:space="preserve">This document, the master plan, and the Session 1 schema specification together represent approximately seven to ten hours of architectural design work. They convert into roughly three to five hours of Claude Code implementation time. The leverage ratio reflects the value of doing the design carefully before any code is written.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0D0" w:sz="4" w:space="4"/>
      </w:pBdr>
      <w:jc w:val="center"/>
    </w:pPr>
    <w:r>
      <w:rPr>
        <w:rFonts w:ascii="Calibri" w:cs="Calibri" w:eastAsia="Calibri" w:hAnsi="Calibri"/>
        <w:color w:val="595959"/>
        <w:sz w:val="18"/>
        <w:szCs w:val="18"/>
      </w:rPr>
      <w:t xml:space="preserve">Confidential · Prepared for Mike Freedman, Freedman Properties · </w:t>
    </w:r>
    <w:r>
      <w:rPr>
        <w:rFonts w:ascii="Calibri" w:cs="Calibri" w:eastAsia="Calibri" w:hAnsi="Calibri"/>
        <w:color w:val="595959"/>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0D0" w:sz="4" w:space="4"/>
      </w:pBdr>
      <w:jc w:val="right"/>
    </w:pPr>
    <w:r>
      <w:rPr>
        <w:rFonts w:ascii="Calibri" w:cs="Calibri" w:eastAsia="Calibri" w:hAnsi="Calibri"/>
        <w:color w:val="595959"/>
        <w:sz w:val="18"/>
        <w:szCs w:val="18"/>
      </w:rPr>
      <w:t xml:space="preserve">DealDesk · Zoning Analysis Overhaul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DealDesk Zoning Analysis Overhaul — Architectural Plan</dc:title>
  <dc:creator>DealDesk</dc:creator>
  <dc:description>Architectural plan and Session 1 schema specification for the DealDesk zoning analysis overhaul</dc:description>
  <cp:lastModifiedBy>Un-named</cp:lastModifiedBy>
  <cp:revision>1</cp:revision>
  <dcterms:created xsi:type="dcterms:W3CDTF">2026-04-27T16:12:17.815Z</dcterms:created>
  <dcterms:modified xsi:type="dcterms:W3CDTF">2026-04-27T16:12:17.816Z</dcterms:modified>
</cp:coreProperties>
</file>

<file path=docProps/custom.xml><?xml version="1.0" encoding="utf-8"?>
<Properties xmlns="http://schemas.openxmlformats.org/officeDocument/2006/custom-properties" xmlns:vt="http://schemas.openxmlformats.org/officeDocument/2006/docPropsVTypes"/>
</file>