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12BB1" w14:textId="77777777" w:rsidR="00B36F91" w:rsidRDefault="00B36F91" w:rsidP="00B36F91">
      <w:pPr>
        <w:pStyle w:val="ListParagraph"/>
        <w:ind w:left="0" w:firstLine="360"/>
        <w:rPr>
          <w:rFonts w:ascii="Times New Roman" w:hAnsi="Times New Roman" w:cs="Times New Roman"/>
        </w:rPr>
      </w:pPr>
      <w:r w:rsidRPr="00187C12">
        <w:rPr>
          <w:rFonts w:ascii="Times New Roman" w:hAnsi="Times New Roman" w:cs="Times New Roman"/>
        </w:rPr>
        <w:t xml:space="preserve">The glass classification dataset was </w:t>
      </w:r>
      <w:r>
        <w:rPr>
          <w:rFonts w:ascii="Times New Roman" w:hAnsi="Times New Roman" w:cs="Times New Roman"/>
        </w:rPr>
        <w:t>initially employed</w:t>
      </w:r>
      <w:r w:rsidRPr="00187C12">
        <w:rPr>
          <w:rFonts w:ascii="Times New Roman" w:hAnsi="Times New Roman" w:cs="Times New Roman"/>
        </w:rPr>
        <w:t xml:space="preserve"> </w:t>
      </w:r>
      <w:r>
        <w:rPr>
          <w:rFonts w:ascii="Times New Roman" w:hAnsi="Times New Roman" w:cs="Times New Roman"/>
        </w:rPr>
        <w:t xml:space="preserve">in a paper, “Rule Induction in Forensic Science”, </w:t>
      </w:r>
      <w:r w:rsidRPr="00187C12">
        <w:rPr>
          <w:rFonts w:ascii="Times New Roman" w:hAnsi="Times New Roman" w:cs="Times New Roman"/>
        </w:rPr>
        <w:t xml:space="preserve">by </w:t>
      </w:r>
      <w:r>
        <w:rPr>
          <w:rFonts w:ascii="Times New Roman" w:hAnsi="Times New Roman" w:cs="Times New Roman"/>
        </w:rPr>
        <w:t>Ian W. Evett and E.J. Spiehler</w:t>
      </w:r>
      <w:r w:rsidRPr="00187C12">
        <w:rPr>
          <w:rFonts w:ascii="Times New Roman" w:hAnsi="Times New Roman" w:cs="Times New Roman"/>
        </w:rPr>
        <w:t xml:space="preserve"> in 1987. </w:t>
      </w:r>
      <w:r>
        <w:rPr>
          <w:rFonts w:ascii="Times New Roman" w:hAnsi="Times New Roman" w:cs="Times New Roman"/>
        </w:rPr>
        <w:t xml:space="preserve">They recognized </w:t>
      </w:r>
      <w:r w:rsidRPr="00187C12">
        <w:rPr>
          <w:rFonts w:ascii="Times New Roman" w:hAnsi="Times New Roman" w:cs="Times New Roman"/>
        </w:rPr>
        <w:t xml:space="preserve">the usefulness </w:t>
      </w:r>
      <w:r>
        <w:rPr>
          <w:rFonts w:ascii="Times New Roman" w:hAnsi="Times New Roman" w:cs="Times New Roman"/>
        </w:rPr>
        <w:t xml:space="preserve">to a forensic crime lab </w:t>
      </w:r>
      <w:r w:rsidRPr="00187C12">
        <w:rPr>
          <w:rFonts w:ascii="Times New Roman" w:hAnsi="Times New Roman" w:cs="Times New Roman"/>
        </w:rPr>
        <w:t xml:space="preserve">of </w:t>
      </w:r>
      <w:r>
        <w:rPr>
          <w:rFonts w:ascii="Times New Roman" w:hAnsi="Times New Roman" w:cs="Times New Roman"/>
        </w:rPr>
        <w:t xml:space="preserve">classifying glass fragments </w:t>
      </w:r>
      <w:r w:rsidRPr="00187C12">
        <w:rPr>
          <w:rFonts w:ascii="Times New Roman" w:hAnsi="Times New Roman" w:cs="Times New Roman"/>
        </w:rPr>
        <w:t>from refractive index (RI)</w:t>
      </w:r>
      <w:r>
        <w:rPr>
          <w:rFonts w:ascii="Times New Roman" w:hAnsi="Times New Roman" w:cs="Times New Roman"/>
        </w:rPr>
        <w:t xml:space="preserve"> and </w:t>
      </w:r>
      <w:r w:rsidRPr="00187C12">
        <w:rPr>
          <w:rFonts w:ascii="Times New Roman" w:hAnsi="Times New Roman" w:cs="Times New Roman"/>
        </w:rPr>
        <w:t>chemical composition. This would</w:t>
      </w:r>
      <w:r>
        <w:rPr>
          <w:rFonts w:ascii="Times New Roman" w:hAnsi="Times New Roman" w:cs="Times New Roman"/>
        </w:rPr>
        <w:t>, for example,</w:t>
      </w:r>
      <w:r w:rsidRPr="00187C12">
        <w:rPr>
          <w:rFonts w:ascii="Times New Roman" w:hAnsi="Times New Roman" w:cs="Times New Roman"/>
        </w:rPr>
        <w:t xml:space="preserve"> allow </w:t>
      </w:r>
      <w:r>
        <w:rPr>
          <w:rFonts w:ascii="Times New Roman" w:hAnsi="Times New Roman" w:cs="Times New Roman"/>
        </w:rPr>
        <w:t>the</w:t>
      </w:r>
      <w:r w:rsidRPr="00187C12">
        <w:rPr>
          <w:rFonts w:ascii="Times New Roman" w:hAnsi="Times New Roman" w:cs="Times New Roman"/>
        </w:rPr>
        <w:t xml:space="preserve"> lab to ascertain</w:t>
      </w:r>
      <w:r>
        <w:rPr>
          <w:rFonts w:ascii="Times New Roman" w:hAnsi="Times New Roman" w:cs="Times New Roman"/>
        </w:rPr>
        <w:t xml:space="preserve"> whether</w:t>
      </w:r>
      <w:r w:rsidRPr="00187C12">
        <w:rPr>
          <w:rFonts w:ascii="Times New Roman" w:hAnsi="Times New Roman" w:cs="Times New Roman"/>
        </w:rPr>
        <w:t xml:space="preserve"> </w:t>
      </w:r>
      <w:r>
        <w:rPr>
          <w:rFonts w:ascii="Times New Roman" w:hAnsi="Times New Roman" w:cs="Times New Roman"/>
        </w:rPr>
        <w:t>samples</w:t>
      </w:r>
      <w:r w:rsidRPr="00187C12">
        <w:rPr>
          <w:rFonts w:ascii="Times New Roman" w:hAnsi="Times New Roman" w:cs="Times New Roman"/>
        </w:rPr>
        <w:t xml:space="preserve"> gathered on a suspect’s clothing </w:t>
      </w:r>
      <w:r>
        <w:rPr>
          <w:rFonts w:ascii="Times New Roman" w:hAnsi="Times New Roman" w:cs="Times New Roman"/>
        </w:rPr>
        <w:t xml:space="preserve">came from a window, potentially indicating he/she had broken it, or from another source, like a broken bottle. </w:t>
      </w:r>
    </w:p>
    <w:p w14:paraId="36A61D69" w14:textId="77777777" w:rsidR="00B36F91" w:rsidRDefault="00B36F91" w:rsidP="00B36F91">
      <w:pPr>
        <w:pStyle w:val="ListParagraph"/>
        <w:ind w:left="0" w:firstLine="360"/>
        <w:rPr>
          <w:rFonts w:ascii="Times New Roman" w:hAnsi="Times New Roman" w:cs="Times New Roman"/>
        </w:rPr>
      </w:pPr>
      <w:r>
        <w:rPr>
          <w:rFonts w:ascii="Times New Roman" w:hAnsi="Times New Roman" w:cs="Times New Roman"/>
        </w:rPr>
        <w:t xml:space="preserve">For the experiment, Evett and Spiehler wished to see if a machine learning algorithm known as Bionic Evolutionary Algorithm Generating Logical Expressions, or BEAGLE, could correctly classify the glass, first as either window or non-window, and then into a second level of sub-categories. For this project, we are focused only on the window/non-window classification problem so will only discuss that portion of the original experiment. </w:t>
      </w:r>
    </w:p>
    <w:p w14:paraId="1DC32581" w14:textId="77777777" w:rsidR="00B36F91" w:rsidRDefault="00B36F91" w:rsidP="00ED7159">
      <w:pPr>
        <w:pStyle w:val="ListParagraph"/>
        <w:ind w:left="0" w:firstLine="360"/>
        <w:rPr>
          <w:rFonts w:ascii="Times New Roman" w:hAnsi="Times New Roman" w:cs="Times New Roman"/>
        </w:rPr>
      </w:pPr>
      <w:r>
        <w:rPr>
          <w:rFonts w:ascii="Times New Roman" w:hAnsi="Times New Roman" w:cs="Times New Roman"/>
        </w:rPr>
        <w:t xml:space="preserve">To classify the glass, Evett and Spiehler trained the BEAGLE machine learning algorithm, which uses a series of “AND” statements to chain rules together based on the inputs. For example, a rule might look like: Fe (iron) &lt;= Na (sodium) AND (K (potassium) &gt; Fe*650. They then tested the BEAGLE algorithm against two traditional statistical methods, k-nearest neighbor (k=3, in this case) and discriminant analysis. </w:t>
      </w:r>
    </w:p>
    <w:p w14:paraId="62828FF7" w14:textId="77777777" w:rsidR="00B36F91" w:rsidRPr="00187C12" w:rsidRDefault="00B36F91" w:rsidP="00ED7159">
      <w:pPr>
        <w:pStyle w:val="ListParagraph"/>
        <w:ind w:left="0" w:firstLine="360"/>
        <w:rPr>
          <w:rFonts w:ascii="Times New Roman" w:hAnsi="Times New Roman" w:cs="Times New Roman"/>
        </w:rPr>
      </w:pPr>
      <w:bookmarkStart w:id="0" w:name="_GoBack"/>
      <w:bookmarkEnd w:id="0"/>
      <w:r>
        <w:rPr>
          <w:rFonts w:ascii="Times New Roman" w:hAnsi="Times New Roman" w:cs="Times New Roman"/>
        </w:rPr>
        <w:t>To train the algorithm, Evett and Spiehler used a collection of 214 samples (the dataset we are using for this project) from the Home Office Forensic Science Laboratory in Birmingham, UK.  After training, they then tested each of the three classification methods on this same dataset. The BEAGLE network performed best, with 8 incorrect classifications, versus 12 for each of the other two. The team then performed a blind trial on 10 further samples, with the BEAGLE algorithm and K-nearest neighbor returning 1 incorrect classification each, and discriminant analysis yielding 3. Evett and Spiehler concluded that the BEAGLE network showed promise as an inexpensive method, though further testing on more samples was needed.</w:t>
      </w:r>
    </w:p>
    <w:p w14:paraId="45D9E939" w14:textId="77777777" w:rsidR="007072F6" w:rsidRDefault="007072F6"/>
    <w:sectPr w:rsidR="007072F6" w:rsidSect="00D44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91"/>
    <w:rsid w:val="007072F6"/>
    <w:rsid w:val="00B36F91"/>
    <w:rsid w:val="00D44D9B"/>
    <w:rsid w:val="00DC7AF8"/>
    <w:rsid w:val="00ED715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8FA46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310</Words>
  <Characters>1772</Characters>
  <Application>Microsoft Macintosh Word</Application>
  <DocSecurity>0</DocSecurity>
  <Lines>14</Lines>
  <Paragraphs>4</Paragraphs>
  <ScaleCrop>false</ScaleCrop>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Barna</dc:creator>
  <cp:keywords/>
  <dc:description/>
  <cp:lastModifiedBy>Mark Barna</cp:lastModifiedBy>
  <cp:revision>2</cp:revision>
  <dcterms:created xsi:type="dcterms:W3CDTF">2017-06-21T14:18:00Z</dcterms:created>
  <dcterms:modified xsi:type="dcterms:W3CDTF">2017-06-21T14:20:00Z</dcterms:modified>
</cp:coreProperties>
</file>