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rFonts w:ascii="Calibri" w:cs="Calibri" w:eastAsia="Calibri" w:hAnsi="Calibri"/>
          <w:b/>
          <w:bCs/>
          <w:color w:val="FFB300"/>
          <w:sz w:val="18"/>
          <w:szCs w:val="18"/>
        </w:rPr>
        <w:t xml:space="preserve">GUIA FUNCIONAL DO PRODUTO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F172B"/>
          <w:sz w:val="52"/>
          <w:szCs w:val="52"/>
        </w:rPr>
        <w:t xml:space="preserve">Fluxo de Regras</w:t>
      </w:r>
    </w:p>
    <w:p>
      <w:pPr>
        <w:spacing w:after="280" w:before="0" w:line="276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Este documento descreve a funcionalidade de Regras na beculture. O foco é o comportamento do produto e as regras de negócio, organizados por tópicos. São descritos apenas os fluxos habilitados e acessíveis hoje.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Produto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beculture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Funcionalidade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Regras (diretrizes da IA)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Onde vive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Configurações → Regras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Público deste documento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Produto, Suporte e Onboarding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Alcance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Toda resposta da IA, em qualquer formato</w:t>
            </w:r>
          </w:p>
        </w:tc>
      </w:tr>
      <w:tr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v1.0 — Agosto 2026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1. Visão geral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 Regras definem restrições de conduta e de conteúdo que a inteligência artificial deve seguir em toda resposta. Não são fatos para citar: são diretrizes de comportamento.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Só as regras ativas entram no contexto da 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regra vale para toda interação com a IA, sem filtro por assunto — não é possível limitar uma regra a um tema ou a uma tela.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Regras são distintas do Repositório: o Repositório guarda notas e conteúdo; as Regras orientam como a IA deve se comportar.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regra pode ser ativada ou desativada conforme a necessidade.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2. Como acessar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Pelas Configurações, na seção Regras.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tem endereço próprio, então é possível guardar o link e voltar direto para ela.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Links antigos da antiga tela de Memória levam para cá.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necessário estar autenticado para gerenciar regras.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3. Lista e consulta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seção Regras, a pessoa consulta e organiza o conjunto de diretrizes da organização. A lista traz as regras mais recentes primeiro.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O que cada linha mostra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Título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resumo da regra, em uma linha.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Nível de confiança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selo com Alta confiança, Confiança média ou A confirmar.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Selo Corporativa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presente apenas nas regras fixadas pela organização (ver o tópico 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Trecho da regra e origem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começo do texto e de onde ela veio.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Estimativa de tokens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quanto aquela regra ocupa no contexto da IA. Aparece em telas maiores.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Data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quando a regra foi criada. Aparece em telas maiores.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Chave de ativação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liga e desliga a regra direto na lista.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Regras inativas aparecem esmaecidas.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Buscar e filtrar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busca considera o título, o texto da regra e a origem.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filtros de status são Todas, Ativas e Inativas, cada um com a sua contagem.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Busca e filtro se combinam.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Totais e estimativa de tokens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do título da seção aparece o total de regras, quantas estão ativas e a estimativa de tokens que elas adicionam ao contexto da 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Só as regras ativas entram nessa estimativa.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estimativa é indicativa: parte de uma proporção fixa de aproximadamente quatro caracteres por token.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Painel de detalhes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Clicar em uma linha abre o painel “Detalhes da regra”, na lateral direita.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painel mostra o nível de confiança, o status (Ativa ou Inativa), o selo Corporativa quando houver, o título e o texto completos, a Origem e a data em Criada 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fim do painel há o cartão “Usar nas respostas da IA”, com a mesma chave de ativação da lista.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4. Criar regra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criação começa pela ação “Nova regra”.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Campos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Título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obrigatório, até 160 caracteres.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Regra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obrigatório, até 2.000 caracteres no formulário.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ação de salvar só fica disponível quando os dois campos estão preenchidos.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atingir o limite de caracteres, o campo simplesmente para de aceitar texto, sem mensagem.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Ao salvar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regra nasce ativa.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Nas próximas respostas, a IA passa a considerar essa regra.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texto da regra, é possível digitar [[ para inserir uma ligação a uma nota do Repositório ou a outra regra. A ligação é gravada como texto: ela não traz o conteúdo do item referenciado para dentro da regra.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a gravação falhar, o formulário permanece aberto com o que foi digitado, para tentar de novo.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5. Ativar e desativar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status pode ser alterado na lista ou no painel de detalhes.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Regra ativa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entra no contexto da IA e influencia as respostas.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72B"/>
          <w:sz w:val="22"/>
          <w:szCs w:val="22"/>
        </w:rPr>
        <w:t xml:space="preserve">Regra inativa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permanece salva, mas não influencia as respostas.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regra inativa também sai da estimativa de tokens e deixa de aparecer nas sugestões de [[.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6. Alterar e excluir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Alterar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Hoje não há edição do texto de uma regra: o painel de detalhes é somente leitura.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mudar o título ou o texto, é preciso excluir a regra e criar outra.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que se pode alterar em uma regra existente é apenas o status.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B"/>
          <w:sz w:val="24"/>
          <w:szCs w:val="24"/>
        </w:rPr>
        <w:t xml:space="preserve">Excluir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exclusão fica disponível no painel de detalhes.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exclusão é imediata: não há pedido de confirmação e não há como desfazer.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excluir, a regra sai da lista e deixa de entrar no contexto da IA.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7. Regras corporativas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Algumas regras podem estar marcadas como definição corporativa. Elas existem para garantir que certas restrições não sejam desligadas por engano.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Aparecem com o selo Corporativa na lista e no painel de detalhes.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quem não é administrador, elas ficam sempre ativas: no lugar da chave de ativação aparece apenas a indicação de que são corporativas, e a ação de excluir não é oferecida.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Administradores e proprietários podem gerenciá-las; para os demais, a tentativa é recusada pelo servidor.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aplicação, uma regra corporativa tem precedência sobre uma regra comum. Entre regras de mesmo nível, vale a mais restritiva.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criação de novas regras corporativas está temporariamente desabilitada; as que já existem seguem valendo normalmente.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8. Como as regras influenciam a IA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 regras ativas são entregues à IA como restrições obrigatórias, junto de cada pedido. Valem para tudo o que a IA produz.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Comportamento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acontece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Alcance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As regras se aplicam a toda resposta, em qualquer formato: chat, barra de pergunta, documento, artigo, apresentação, carrossel, ata, roteiro, legenda, resumo e e-mail.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Conflito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 uma regra conflitar com a instrução da tarefa ou com o pedido da pessoa, a regra prevalece.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Precedência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Regras corporativas vêm antes das comuns; entre regras equivalentes, vale a mais restritiva.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Discrição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 IA não reproduz, não lista e não menciona as regras na resposta, nem diz que existe algo limitando o que ela pode fazer.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Recusa parcial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 uma regra impedir parte do que foi pedido, a IA entrega todo o resto e diz em uma única linha curta que aquele ponto não pode ser atendido.</w:t>
            </w:r>
          </w:p>
        </w:tc>
      </w:tr>
      <w:tr>
        <w:tc>
          <w:tcPr>
            <w:tcW w:type="dxa" w:w="21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Geração de imagem</w:t>
            </w:r>
          </w:p>
        </w:tc>
        <w:tc>
          <w:tcPr>
            <w:tcW w:type="dxa" w:w="69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 geração de imagem recebe uma versão compacta e mais curta das regras, porque o pedido de imagem não aceita um bloco longo de instruções.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Regras e Repositório se complementam: as regras orientam a conduta; o Repositório fornece conteúdo e fatos.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9. Limites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Título: 160 caracteres.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Texto da regra: 2.000 caracteres no formulário de criação.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há limite para a quantidade de regras cadastradas.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cada resposta, são consideradas até 300 regras ativas, na ordem de precedência.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conjunto de regras entregue à IA também tem um teto de tamanho. O que não couber é deixado de fora daquela resposta, com um aviso à IA de que a lista está incompleta.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descarte não é sinalizado na tela: a estimativa de tokens no cabeçalho é a única pista de que o conjunto está crescendo demais.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10. Situações especiais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Título ou texto vazio: a regra não é salva até os campos obrigatórios serem preenchidos.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conexão com o servidor: a operação continua em modo local, com aviso à pessoa.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Regras criadas ou alteradas em modo local ficam apenas naquele navegador e não são enviadas ao servidor depois. Na próxima carga bem-sucedida, a lista do servidor substitui a local e essas alterações desaparecem.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permissão para gerenciar determinada regra: as ações ficam indisponíveis.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Falha ao ativar ou desativar: o status volta ao valor anterior e a pessoa é avisada.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Falha ao carregar as regras no momento de uma resposta: a IA responde sem elas, em vez de a resposta falhar.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lista pode conter registros criados por outros fluxos do produto, e não só pela ação “Nova regra”. A coluna de origem é o que distingue esses casos.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F172B"/>
          <w:sz w:val="30"/>
          <w:szCs w:val="30"/>
        </w:rPr>
        <w:t xml:space="preserve">11. Resumo do percurso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→ Regras → criar, ativar ou consultar → a IA passa a seguir as regras ativas nas próximas respostas, em qualquer formato.</w:t>
      </w:r>
    </w:p>
    <w:p>
      <w:pPr>
        <w:spacing w:after="2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Documento funcional · beculture · Agosto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/>
      </w:pBdr>
      <w:spacing w:before="120"/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  <w:spacing w:after="80"/>
    </w:pPr>
    <w:r>
      <w:rPr>
        <w:rFonts w:ascii="Calibri" w:cs="Calibri" w:eastAsia="Calibri" w:hAnsi="Calibri"/>
        <w:color w:val="64748B"/>
        <w:sz w:val="16"/>
        <w:szCs w:val="16"/>
      </w:rPr>
      <w:t xml:space="preserve">beculture  ·  Documentação de Produto</w:t>
    </w:r>
    <w:r>
      <w:rPr>
        <w:rFonts w:ascii="Calibri" w:cs="Calibri" w:eastAsia="Calibri" w:hAnsi="Calibri"/>
        <w:color w:val="64748B"/>
        <w:sz w:val="16"/>
        <w:szCs w:val="16"/>
      </w:rPr>
      <w:t xml:space="preserve">	Fluxo de Regras</w:t>
    </w:r>
  </w:p>
  <w:p>
    <w:pPr>
      <w:pBdr>
        <w:bottom w:val="single" w:color="FFB300" w:sz="12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2026-08-19T18:18:15.953Z</dcterms:created>
  <dcterms:modified xsi:type="dcterms:W3CDTF">2026-08-19T18:18:15.955Z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