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RADA Student Wellbeing Service — LTSE Update 2025–26</w:t>
      </w:r>
    </w:p>
    <w:p>
      <w:r>
        <w:t>**September 2025 – 11 June 2026**</w:t>
      </w:r>
    </w:p>
    <w:p>
      <w:pPr>
        <w:pStyle w:val="Heading1"/>
      </w:pPr>
      <w:r>
        <w:t>1. Executive Summary</w:t>
      </w:r>
    </w:p>
    <w:p>
      <w:r>
        <w:t>Between September 2025 and June 2026, **64 students** registered for counselling support and the service delivered **346 therapeutic contacts** across ongoing counselling, drop-in consultations and OnePlus Therapy. Activity continued to increase following the May interim report, reflecting sustained demand for both structured counselling and immediate-access support.</w:t>
      </w:r>
    </w:p>
    <w:p>
      <w:r>
        <w:t>Since the May interim update, registrations have risen from **56** to **64 students**, and total therapeutic contacts have increased from **289** to **346** — comprising **190 counselling sessions**, **125 drop-in consultations**, and **31 OnePlus Therapy sessions**.</w:t>
      </w:r>
    </w:p>
    <w:p>
      <w:r>
        <w:t>RADA has secured **three years of funding from the CHK Foundation** to support ongoing service development, evaluation and improved reporting, early intervention activity, and closer integration between counselling and disability support. This award represents a significant positive development for the Student Wellbeing Service at a time of sustained student need.</w:t>
      </w:r>
    </w:p>
    <w:p>
      <w:pPr>
        <w:pStyle w:val="Heading1"/>
      </w:pPr>
      <w:r>
        <w:t>2. Service Reach and Delivery</w:t>
      </w:r>
    </w:p>
    <w:p>
      <w:r>
        <w:t>Figures represent data between **1 September 2025 and 11 June 2026**.</w:t>
      </w:r>
    </w:p>
    <w:p>
      <w:pPr>
        <w:pStyle w:val="Heading2"/>
      </w:pPr>
      <w:r>
        <w:t>Students supported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2025–26 (to 11 June)</w:t>
            </w:r>
          </w:p>
        </w:tc>
        <w:tc>
          <w:tcPr>
            <w:tcW w:type="dxa" w:w="2880"/>
          </w:tcPr>
          <w:p>
            <w:r>
              <w:t>May interim (to 5 May)</w:t>
            </w:r>
          </w:p>
        </w:tc>
      </w:tr>
      <w:tr>
        <w:tc>
          <w:tcPr>
            <w:tcW w:type="dxa" w:w="2880"/>
          </w:tcPr>
          <w:p>
            <w:r>
              <w:t>Students registered for counselling</w:t>
            </w:r>
          </w:p>
        </w:tc>
        <w:tc>
          <w:tcPr>
            <w:tcW w:type="dxa" w:w="2880"/>
          </w:tcPr>
          <w:p>
            <w:r>
              <w:t>64</w:t>
            </w:r>
          </w:p>
        </w:tc>
        <w:tc>
          <w:tcPr>
            <w:tcW w:type="dxa" w:w="2880"/>
          </w:tcPr>
          <w:p>
            <w:r>
              <w:t>56</w:t>
            </w:r>
          </w:p>
        </w:tc>
      </w:tr>
    </w:tbl>
    <w:p>
      <w:pPr>
        <w:pStyle w:val="Heading2"/>
      </w:pPr>
      <w:r>
        <w:t>Activity delivered</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2025–26 (to 11 June)</w:t>
            </w:r>
          </w:p>
        </w:tc>
        <w:tc>
          <w:tcPr>
            <w:tcW w:type="dxa" w:w="2880"/>
          </w:tcPr>
          <w:p>
            <w:r>
              <w:t>May interim (to 5 May)</w:t>
            </w:r>
          </w:p>
        </w:tc>
      </w:tr>
      <w:tr>
        <w:tc>
          <w:tcPr>
            <w:tcW w:type="dxa" w:w="2880"/>
          </w:tcPr>
          <w:p>
            <w:r>
              <w:t>Counselling sessions</w:t>
            </w:r>
          </w:p>
        </w:tc>
        <w:tc>
          <w:tcPr>
            <w:tcW w:type="dxa" w:w="2880"/>
          </w:tcPr>
          <w:p>
            <w:r>
              <w:t>190</w:t>
            </w:r>
          </w:p>
        </w:tc>
        <w:tc>
          <w:tcPr>
            <w:tcW w:type="dxa" w:w="2880"/>
          </w:tcPr>
          <w:p>
            <w:r>
              <w:t>151</w:t>
            </w:r>
          </w:p>
        </w:tc>
      </w:tr>
      <w:tr>
        <w:tc>
          <w:tcPr>
            <w:tcW w:type="dxa" w:w="2880"/>
          </w:tcPr>
          <w:p>
            <w:r>
              <w:t>Drop-in consultations</w:t>
            </w:r>
          </w:p>
        </w:tc>
        <w:tc>
          <w:tcPr>
            <w:tcW w:type="dxa" w:w="2880"/>
          </w:tcPr>
          <w:p>
            <w:r>
              <w:t>125</w:t>
            </w:r>
          </w:p>
        </w:tc>
        <w:tc>
          <w:tcPr>
            <w:tcW w:type="dxa" w:w="2880"/>
          </w:tcPr>
          <w:p>
            <w:r>
              <w:t>103</w:t>
            </w:r>
          </w:p>
        </w:tc>
      </w:tr>
      <w:tr>
        <w:tc>
          <w:tcPr>
            <w:tcW w:type="dxa" w:w="2880"/>
          </w:tcPr>
          <w:p>
            <w:r>
              <w:t>OnePlus Therapy sessions</w:t>
            </w:r>
          </w:p>
        </w:tc>
        <w:tc>
          <w:tcPr>
            <w:tcW w:type="dxa" w:w="2880"/>
          </w:tcPr>
          <w:p>
            <w:r>
              <w:t>31</w:t>
            </w:r>
          </w:p>
        </w:tc>
        <w:tc>
          <w:tcPr>
            <w:tcW w:type="dxa" w:w="2880"/>
          </w:tcPr>
          <w:p>
            <w:r>
              <w:t>—</w:t>
            </w:r>
          </w:p>
        </w:tc>
      </w:tr>
      <w:tr>
        <w:tc>
          <w:tcPr>
            <w:tcW w:type="dxa" w:w="2880"/>
          </w:tcPr>
          <w:p>
            <w:r>
              <w:t>Total therapeutic contacts</w:t>
            </w:r>
          </w:p>
        </w:tc>
        <w:tc>
          <w:tcPr>
            <w:tcW w:type="dxa" w:w="2880"/>
          </w:tcPr>
          <w:p>
            <w:r>
              <w:t>346</w:t>
            </w:r>
          </w:p>
        </w:tc>
        <w:tc>
          <w:tcPr>
            <w:tcW w:type="dxa" w:w="2880"/>
          </w:tcPr>
          <w:p>
            <w:r>
              <w:t>289</w:t>
            </w:r>
          </w:p>
        </w:tc>
      </w:tr>
    </w:tbl>
    <w:p>
      <w:r>
        <w:t>A total of **190 counselling sessions** were delivered during the reporting period, equivalent to approximately three counselling sessions per registered student.</w:t>
      </w:r>
    </w:p>
    <w:p>
      <w:pPr>
        <w:pStyle w:val="Heading1"/>
      </w:pPr>
      <w:r>
        <w:t>3. Service Model and Access Trends</w:t>
      </w:r>
    </w:p>
    <w:p>
      <w:r>
        <w:t>The service operates three distinct support pathways: ongoing counselling, drop-in consultations and OnePlus Therapy. Students may access more than one pathway during the academic year.</w:t>
      </w:r>
    </w:p>
    <w:p>
      <w:r>
        <w:t>The service continues to combine structured counselling with immediate-access support. Session volumes have increased since May across all pathways (+39 counselling sessions; +22 drop-in consultations; +31 OnePlus Therapy sessions).</w:t>
      </w:r>
    </w:p>
    <w:p>
      <w:pPr>
        <w:pStyle w:val="Heading1"/>
      </w:pPr>
      <w:r>
        <w:t>4. Student Need: Presenting Issues</w:t>
      </w:r>
    </w:p>
    <w:p>
      <w:pPr>
        <w:pStyle w:val="Heading2"/>
      </w:pPr>
      <w:r>
        <w:t>Primary presenting issues</w:t>
      </w:r>
    </w:p>
    <w:p>
      <w:r>
        <w:t>51 registered students have a recorded primary presenting issue.</w:t>
      </w:r>
    </w:p>
    <w:tbl>
      <w:tblPr>
        <w:tblStyle w:val="TableGrid"/>
        <w:tblW w:type="auto" w:w="0"/>
        <w:tblLook w:firstColumn="1" w:firstRow="1" w:lastColumn="0" w:lastRow="0" w:noHBand="0" w:noVBand="1" w:val="04A0"/>
      </w:tblPr>
      <w:tblGrid>
        <w:gridCol w:w="2880"/>
        <w:gridCol w:w="2880"/>
        <w:gridCol w:w="2880"/>
      </w:tblGrid>
      <w:tr>
        <w:tc>
          <w:tcPr>
            <w:tcW w:type="dxa" w:w="2880"/>
          </w:tcPr>
          <w:p>
            <w:r>
              <w:t>Primary issue</w:t>
            </w:r>
          </w:p>
        </w:tc>
        <w:tc>
          <w:tcPr>
            <w:tcW w:type="dxa" w:w="2880"/>
          </w:tcPr>
          <w:p>
            <w:r>
              <w:t>Students (n)</w:t>
            </w:r>
          </w:p>
        </w:tc>
        <w:tc>
          <w:tcPr>
            <w:tcW w:type="dxa" w:w="2880"/>
          </w:tcPr>
          <w:p>
            <w:r>
              <w:t>% of recorded (n=51)</w:t>
            </w:r>
          </w:p>
        </w:tc>
      </w:tr>
      <w:tr>
        <w:tc>
          <w:tcPr>
            <w:tcW w:type="dxa" w:w="2880"/>
          </w:tcPr>
          <w:p>
            <w:r>
              <w:t>Depression, anger and mood change or disorder</w:t>
            </w:r>
          </w:p>
        </w:tc>
        <w:tc>
          <w:tcPr>
            <w:tcW w:type="dxa" w:w="2880"/>
          </w:tcPr>
          <w:p>
            <w:r>
              <w:t>21</w:t>
            </w:r>
          </w:p>
        </w:tc>
        <w:tc>
          <w:tcPr>
            <w:tcW w:type="dxa" w:w="2880"/>
          </w:tcPr>
          <w:p>
            <w:r>
              <w:t>41.2%</w:t>
            </w:r>
          </w:p>
        </w:tc>
      </w:tr>
      <w:tr>
        <w:tc>
          <w:tcPr>
            <w:tcW w:type="dxa" w:w="2880"/>
          </w:tcPr>
          <w:p>
            <w:r>
              <w:t>Anxiety</w:t>
            </w:r>
          </w:p>
        </w:tc>
        <w:tc>
          <w:tcPr>
            <w:tcW w:type="dxa" w:w="2880"/>
          </w:tcPr>
          <w:p>
            <w:r>
              <w:t>7</w:t>
            </w:r>
          </w:p>
        </w:tc>
        <w:tc>
          <w:tcPr>
            <w:tcW w:type="dxa" w:w="2880"/>
          </w:tcPr>
          <w:p>
            <w:r>
              <w:t>13.7%</w:t>
            </w:r>
          </w:p>
        </w:tc>
      </w:tr>
      <w:tr>
        <w:tc>
          <w:tcPr>
            <w:tcW w:type="dxa" w:w="2880"/>
          </w:tcPr>
          <w:p>
            <w:r>
              <w:t>Relationships</w:t>
            </w:r>
          </w:p>
        </w:tc>
        <w:tc>
          <w:tcPr>
            <w:tcW w:type="dxa" w:w="2880"/>
          </w:tcPr>
          <w:p>
            <w:r>
              <w:t>7</w:t>
            </w:r>
          </w:p>
        </w:tc>
        <w:tc>
          <w:tcPr>
            <w:tcW w:type="dxa" w:w="2880"/>
          </w:tcPr>
          <w:p>
            <w:r>
              <w:t>13.7%</w:t>
            </w:r>
          </w:p>
        </w:tc>
      </w:tr>
      <w:tr>
        <w:tc>
          <w:tcPr>
            <w:tcW w:type="dxa" w:w="2880"/>
          </w:tcPr>
          <w:p>
            <w:r>
              <w:t>Other mental health concerns</w:t>
            </w:r>
          </w:p>
        </w:tc>
        <w:tc>
          <w:tcPr>
            <w:tcW w:type="dxa" w:w="2880"/>
          </w:tcPr>
          <w:p>
            <w:r>
              <w:t>5</w:t>
            </w:r>
          </w:p>
        </w:tc>
        <w:tc>
          <w:tcPr>
            <w:tcW w:type="dxa" w:w="2880"/>
          </w:tcPr>
          <w:p>
            <w:r>
              <w:t>9.8%</w:t>
            </w:r>
          </w:p>
        </w:tc>
      </w:tr>
      <w:tr>
        <w:tc>
          <w:tcPr>
            <w:tcW w:type="dxa" w:w="2880"/>
          </w:tcPr>
          <w:p>
            <w:r>
              <w:t>Loss</w:t>
            </w:r>
          </w:p>
        </w:tc>
        <w:tc>
          <w:tcPr>
            <w:tcW w:type="dxa" w:w="2880"/>
          </w:tcPr>
          <w:p>
            <w:r>
              <w:t>5</w:t>
            </w:r>
          </w:p>
        </w:tc>
        <w:tc>
          <w:tcPr>
            <w:tcW w:type="dxa" w:w="2880"/>
          </w:tcPr>
          <w:p>
            <w:r>
              <w:t>9.8%</w:t>
            </w:r>
          </w:p>
        </w:tc>
      </w:tr>
      <w:tr>
        <w:tc>
          <w:tcPr>
            <w:tcW w:type="dxa" w:w="2880"/>
          </w:tcPr>
          <w:p>
            <w:r>
              <w:t>Academic issues</w:t>
            </w:r>
          </w:p>
        </w:tc>
        <w:tc>
          <w:tcPr>
            <w:tcW w:type="dxa" w:w="2880"/>
          </w:tcPr>
          <w:p>
            <w:r>
              <w:t>3</w:t>
            </w:r>
          </w:p>
        </w:tc>
        <w:tc>
          <w:tcPr>
            <w:tcW w:type="dxa" w:w="2880"/>
          </w:tcPr>
          <w:p>
            <w:r>
              <w:t>5.9%</w:t>
            </w:r>
          </w:p>
        </w:tc>
      </w:tr>
      <w:tr>
        <w:tc>
          <w:tcPr>
            <w:tcW w:type="dxa" w:w="2880"/>
          </w:tcPr>
          <w:p>
            <w:r>
              <w:t>Transitions</w:t>
            </w:r>
          </w:p>
        </w:tc>
        <w:tc>
          <w:tcPr>
            <w:tcW w:type="dxa" w:w="2880"/>
          </w:tcPr>
          <w:p>
            <w:r>
              <w:t>2</w:t>
            </w:r>
          </w:p>
        </w:tc>
        <w:tc>
          <w:tcPr>
            <w:tcW w:type="dxa" w:w="2880"/>
          </w:tcPr>
          <w:p>
            <w:r>
              <w:t>3.9%</w:t>
            </w:r>
          </w:p>
        </w:tc>
      </w:tr>
      <w:tr>
        <w:tc>
          <w:tcPr>
            <w:tcW w:type="dxa" w:w="2880"/>
          </w:tcPr>
          <w:p>
            <w:r>
              <w:t>Self and identity</w:t>
            </w:r>
          </w:p>
        </w:tc>
        <w:tc>
          <w:tcPr>
            <w:tcW w:type="dxa" w:w="2880"/>
          </w:tcPr>
          <w:p>
            <w:r>
              <w:t>1</w:t>
            </w:r>
          </w:p>
        </w:tc>
        <w:tc>
          <w:tcPr>
            <w:tcW w:type="dxa" w:w="2880"/>
          </w:tcPr>
          <w:p>
            <w:r>
              <w:t>2.0%</w:t>
            </w:r>
          </w:p>
        </w:tc>
      </w:tr>
    </w:tbl>
    <w:p>
      <w:pPr>
        <w:pStyle w:val="Heading2"/>
      </w:pPr>
      <w:r>
        <w:t>Secondary presenting issues</w:t>
      </w:r>
    </w:p>
    <w:p>
      <w:r>
        <w:t>44 students have a recorded secondary issue. The most common secondary concerns are **adjustment to a new environment** (9 students), **self-esteem / confidence** (4), **interpersonal difficulties** (3), **grief / loss** (3), and **anxiety-related concerns** (3 recorded as generalised anxiety).</w:t>
      </w:r>
    </w:p>
    <w:p>
      <w:pPr>
        <w:pStyle w:val="Heading2"/>
      </w:pPr>
      <w:r>
        <w:t>Commentary</w:t>
      </w:r>
    </w:p>
    <w:p>
      <w:r>
        <w:t>Depression and mood-related concerns are the most common primary presenting issue (21 of 51 recorded cases). Anxiety and relationship difficulties are the next most frequent primary concerns, each recorded for seven students. Secondary recordings most often relate to adjustment, self-esteem, interpersonal functioning, grief and anxiety.</w:t>
      </w:r>
    </w:p>
    <w:p>
      <w:r>
        <w:t>As in previous years, the most common presenting concerns included depression and mood-related difficulties, anxiety, relationship issues and loss/bereavement. While the relative proportions vary from year to year, the overall profile of presenting concerns remains broadly consistent with previous reporting periods. Adjustment to a new environment, self-esteem and confidence, and interpersonal difficulties also featured prominently as secondary concerns.</w:t>
      </w:r>
    </w:p>
    <w:p>
      <w:pPr>
        <w:pStyle w:val="Heading1"/>
      </w:pPr>
      <w:r>
        <w:t>5. Student Engagement Patterns</w:t>
      </w:r>
    </w:p>
    <w:p>
      <w:r>
        <w:t>Students engage at key transition points, with sustained demand through the spring and early summer terms. Engagement reflects continued use of both structured counselling and immediate-access drop-in provision throughout the academic year.</w:t>
      </w:r>
    </w:p>
    <w:p>
      <w:r>
        <w:t>The service also continued to contribute to preventative wellbeing activity during the year. Workshops and awareness initiatives continued as part of the wider wellbeing offer, including student mental health awareness and suicide prevention activity.</w:t>
      </w:r>
    </w:p>
    <w:p>
      <w:pPr>
        <w:pStyle w:val="Heading1"/>
      </w:pPr>
      <w:r>
        <w:t>6. Demographic Overview</w:t>
      </w:r>
    </w:p>
    <w:p>
      <w:r>
        <w:t>Demographic patterns broadly reflect sector trends. Programme and gender breakdowns are not included in this update.</w:t>
      </w:r>
    </w:p>
    <w:p>
      <w:r>
        <w:t>A separate Disability Service update will be provided to LTSE by the Disability Coordinator.</w:t>
      </w:r>
    </w:p>
    <w:p>
      <w:pPr>
        <w:pStyle w:val="Heading1"/>
      </w:pPr>
      <w:r>
        <w:t>7. Strategic Interpretation</w:t>
      </w:r>
    </w:p>
    <w:p>
      <w:r>
        <w:t>Sustained demand, a multi-pathway service model, and mood-related and adjustment concerns remain prominent features of student need.</w:t>
      </w:r>
    </w:p>
    <w:p>
      <w:r>
        <w:t>During the reporting period, RADA secured three years of funding from the CHK Foundation. The funding supports ongoing development of accessible wellbeing provision, service evaluation and improved reporting, early intervention activity, and closer integration of counselling and disability support. This external investment strengthens the service's capacity to respond to student need in the years ahead.</w:t>
      </w:r>
    </w:p>
    <w:p>
      <w:r>
        <w:t>**Developments since May 2026:** OnePlus provision continued; pre-induction webinars and in-year wellbeing workshops continue; disability pre-induction outreach ongoing.</w:t>
      </w:r>
    </w:p>
    <w:p>
      <w:r>
        <w:t>Activity through to 11 June 2026 confirms continued growth in service use since the May interim report.</w:t>
      </w:r>
    </w:p>
    <w:p>
      <w:pPr>
        <w:pStyle w:val="Heading1"/>
      </w:pPr>
      <w:r>
        <w:t>8. Priorities for 2026–27</w:t>
      </w:r>
    </w:p>
    <w:p>
      <w:pPr>
        <w:pStyle w:val="ListBullet"/>
      </w:pPr>
      <w:r>
        <w:t>Developing a sustainable service model</w:t>
      </w:r>
    </w:p>
    <w:p>
      <w:pPr>
        <w:pStyle w:val="ListBullet"/>
      </w:pPr>
      <w:r>
        <w:t>Embedding a whole-institution approach to wellbeing</w:t>
      </w:r>
    </w:p>
    <w:p>
      <w:pPr>
        <w:pStyle w:val="ListBullet"/>
      </w:pPr>
      <w:r>
        <w:t>Improved monitoring of student mental health / disability issues</w:t>
      </w:r>
    </w:p>
    <w:p>
      <w:pPr>
        <w:pStyle w:val="ListBullet"/>
      </w:pPr>
      <w:r>
        <w:t>Continued development of service reporting and outcomes</w:t>
      </w:r>
    </w:p>
    <w:p>
      <w:pPr>
        <w:pStyle w:val="ListBullet"/>
      </w:pPr>
      <w:r>
        <w:t>Expansion of early intervention</w:t>
      </w:r>
    </w:p>
    <w:p>
      <w:pPr>
        <w:pStyle w:val="ListBullet"/>
      </w:pPr>
      <w:r>
        <w:t>Continued development of counselling and disability support integration</w:t>
      </w:r>
    </w:p>
    <w:p>
      <w:r>
        <w:t>*LTSE committee update — September 2025 to 11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