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(Basie / Ellington / Schneider / Quincy),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146</w:t>
      </w:r>
      <w:r>
        <w:t xml:space="preserve"> PASS rows, </w:t>
      </w:r>
      <w:r>
        <w:rPr>
          <w:b/>
          <w:bCs/>
        </w:rPr>
        <w:t xml:space="preserve">39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evaluation system is fully wired and first four arrangers are auto-scoring.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partial wiring</w:t>
      </w:r>
    </w:p>
    <w:p>
      <w:pPr>
        <w:spacing w:after="160"/>
      </w:pPr>
      <w:r>
        <w:rPr>
          <w:b/>
          <w:bCs/>
        </w:rPr>
        <w:t xml:space="preserve">Mapped to `composerStyle` (registry rules + tuning):</w:t>
      </w:r>
      <w:r>
        <w:t xml:space="preserve">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</w:t>
      </w:r>
      <w:r>
        <w:rPr>
          <w:b/>
          <w:bCs/>
        </w:rPr>
        <w:t xml:space="preserve">Count Basie</w:t>
      </w:r>
      <w:r>
        <w:t xml:space="preserve">, </w:t>
      </w:r>
      <w:r>
        <w:rPr>
          <w:b/>
          <w:bCs/>
        </w:rPr>
        <w:t xml:space="preserve">Duke Ellington</w:t>
      </w:r>
      <w:r>
        <w:t xml:space="preserve">, </w:t>
      </w:r>
      <w:r>
        <w:rPr>
          <w:b/>
          <w:bCs/>
        </w:rPr>
        <w:t xml:space="preserve">Maria Schneider</w:t>
      </w:r>
      <w:r>
        <w:t xml:space="preserve">, and </w:t>
      </w:r>
      <w:r>
        <w:rPr>
          <w:b/>
          <w:bCs/>
        </w:rPr>
        <w:t xml:space="preserve">Quincy Jones</w:t>
      </w:r>
      <w:r>
        <w:t xml:space="preserve"> — see </w:t>
      </w:r>
      <w:r>
        <w:rPr>
          <w:b/>
          <w:bCs/>
        </w:rPr>
        <w:t xml:space="preserve">section 10 — Big Band arranger profiles (wired tuning receipts)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Still UI-only for Big Band engine merge:</w:t>
      </w:r>
      <w:r>
        <w:t xml:space="preserve"> other </w:t>
      </w:r>
      <w:r>
        <w:rPr>
          <w:b/>
          <w:bCs/>
        </w:rPr>
        <w:t xml:space="preserve">`arrangerStyle`</w:t>
      </w:r>
      <w:r>
        <w:t xml:space="preserve"> ids do </w:t>
      </w:r>
      <w:r>
        <w:rPr>
          <w:b/>
          <w:bCs/>
        </w:rPr>
        <w:t xml:space="preserve">not</w:t>
      </w:r>
      <w:r>
        <w:t xml:space="preserve"> set </w:t>
      </w:r>
      <w:r>
        <w:rPr>
          <w:b/>
          <w:bCs/>
        </w:rPr>
        <w:t xml:space="preserve">`composerStyle`</w:t>
      </w:r>
      <w:r>
        <w:t xml:space="preserve">; they receive </w:t>
      </w:r>
      <w:r>
        <w:rPr>
          <w:b/>
          <w:bCs/>
        </w:rPr>
        <w:t xml:space="preserve">era + foundational + functional</w:t>
      </w:r>
      <w:r>
        <w:t xml:space="preserve"> rules only. </w:t>
      </w:r>
      <w:r>
        <w:rPr>
          <w:b/>
          <w:bCs/>
        </w:rPr>
        <w:t xml:space="preserve">Planned arranger wiring priority</w:t>
      </w:r>
      <w:r>
        <w:t xml:space="preserve"> (when the pipeline extends):</w:t>
      </w:r>
    </w:p>
    <w:p>
      <w:pPr>
        <w:spacing w:after="160"/>
      </w:pPr>
      <w:r>
        <w:t xml:space="preserve">1. Thad Jones 2. Gil Evans 3. Bob Brookmeyer 4. Clare Fischer 5. Oliver Nelson 6. Sammy Nestico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may still reference those names for confidence / contrast metadata independently of Big Band </w:t>
      </w:r>
      <w:r>
        <w:rPr>
          <w:b/>
          <w:bCs/>
        </w:rPr>
        <w:t xml:space="preserve">`composerStyle`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2026-05-03T19:50:30.561Z</dcterms:created>
  <dcterms:modified xsi:type="dcterms:W3CDTF">2026-05-03T19:50:30.562Z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