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partial wiring</w:t>
      </w:r>
    </w:p>
    <w:p>
      <w:pPr>
        <w:spacing w:after="160"/>
      </w:pPr>
      <w:r>
        <w:rPr>
          <w:b/>
          <w:bCs/>
        </w:rPr>
        <w:t xml:space="preserve">Mapped to `composerStyle` (registry rules + tuning):</w:t>
      </w:r>
      <w:r>
        <w:t xml:space="preserve">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</w:t>
      </w:r>
      <w:r>
        <w:rPr>
          <w:b/>
          <w:bCs/>
        </w:rPr>
        <w:t xml:space="preserve">Count Basie</w:t>
      </w:r>
      <w:r>
        <w:t xml:space="preserve">, </w:t>
      </w:r>
      <w:r>
        <w:rPr>
          <w:b/>
          <w:bCs/>
        </w:rPr>
        <w:t xml:space="preserve">Duke Ellington</w:t>
      </w:r>
      <w:r>
        <w:t xml:space="preserve">, </w:t>
      </w:r>
      <w:r>
        <w:rPr>
          <w:b/>
          <w:bCs/>
        </w:rPr>
        <w:t xml:space="preserve">Maria Schneider</w:t>
      </w:r>
      <w:r>
        <w:t xml:space="preserve">, and </w:t>
      </w:r>
      <w:r>
        <w:rPr>
          <w:b/>
          <w:bCs/>
        </w:rPr>
        <w:t xml:space="preserve">Quincy Jones</w:t>
      </w:r>
      <w:r>
        <w:t xml:space="preserve"> — see </w:t>
      </w:r>
      <w:r>
        <w:rPr>
          <w:b/>
          <w:bCs/>
        </w:rPr>
        <w:t xml:space="preserve">section 10 — Big Band arranger profiles (wired tuning receipts)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Still UI-only for Big Band engine merge:</w:t>
      </w:r>
      <w:r>
        <w:t xml:space="preserve"> other </w:t>
      </w:r>
      <w:r>
        <w:rPr>
          <w:b/>
          <w:bCs/>
        </w:rPr>
        <w:t xml:space="preserve">`arrangerStyle`</w:t>
      </w:r>
      <w:r>
        <w:t xml:space="preserve"> ids (e.g. </w:t>
      </w:r>
      <w:r>
        <w:rPr>
          <w:b/>
          <w:bCs/>
        </w:rPr>
        <w:t xml:space="preserve">Thad Jones</w:t>
      </w:r>
      <w:r>
        <w:t xml:space="preserve">, Gil Evans, Nelson Riddle, …) do </w:t>
      </w:r>
      <w:r>
        <w:rPr>
          <w:b/>
          <w:bCs/>
        </w:rPr>
        <w:t xml:space="preserve">not</w:t>
      </w:r>
      <w:r>
        <w:t xml:space="preserve"> set </w:t>
      </w:r>
      <w:r>
        <w:rPr>
          <w:b/>
          <w:bCs/>
        </w:rPr>
        <w:t xml:space="preserve">`composerStyle`</w:t>
      </w:r>
      <w:r>
        <w:t xml:space="preserve">; they receive </w:t>
      </w:r>
      <w:r>
        <w:rPr>
          <w:b/>
          <w:bCs/>
        </w:rPr>
        <w:t xml:space="preserve">era + foundational + functional</w:t>
      </w:r>
      <w:r>
        <w:t xml:space="preserve"> rules only. Song Mode </w:t>
      </w:r>
      <w:r>
        <w:rPr>
          <w:b/>
          <w:bCs/>
        </w:rPr>
        <w:t xml:space="preserve">style pairing</w:t>
      </w:r>
      <w:r>
        <w:t xml:space="preserve"> may still reference those names for confidence / contrast metadata independently of Big Band </w:t>
      </w:r>
      <w:r>
        <w:rPr>
          <w:b/>
          <w:bCs/>
        </w:rPr>
        <w:t xml:space="preserve">`composerStyle`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2026-05-03T19:18:34.886Z</dcterms:created>
  <dcterms:modified xsi:type="dcterms:W3CDTF">2026-05-03T19:18:34.887Z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