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Band Engine — User Guide</w:t>
      </w:r>
    </w:p>
    <w:p>
      <w:pPr>
        <w:pStyle w:val="Heading1"/>
      </w:pPr>
      <w:r>
        <w:t>Modern Big Band Workflow</w:t>
      </w:r>
    </w:p>
    <w:p>
      <w:r>
        <w:t>1. **Generate IR** — From title or premise; seed controls determinism.</w:t>
      </w:r>
    </w:p>
    <w:p>
      <w:r>
        <w:t>2. **Validate** — IR validator checks required fields and form consistency.</w:t>
      </w:r>
    </w:p>
    <w:p>
      <w:r>
        <w:t>3. **Compile** — Section compiler produces layered blueprint (lead, sax support, brass, rhythm plan).</w:t>
      </w:r>
    </w:p>
    <w:p>
      <w:r>
        <w:t>4. **Export** — MusicXML exporter writes valid lead-part blueprint.</w:t>
      </w:r>
    </w:p>
    <w:p>
      <w:pPr>
        <w:pStyle w:val="Heading1"/>
      </w:pPr>
      <w:r>
        <w:t>Sectional Role Logic</w:t>
      </w:r>
    </w:p>
    <w:p>
      <w:r>
        <w:t>**Lead** — Primary melody (trumpet/alto)</w:t>
      </w:r>
    </w:p>
    <w:p>
      <w:r>
        <w:t>**Sax** — Counterline, support figures</w:t>
      </w:r>
    </w:p>
    <w:p>
      <w:r>
        <w:t>**Brass** — Punches, hits, sectional unisons</w:t>
      </w:r>
    </w:p>
    <w:p>
      <w:r>
        <w:t>**Rhythm** — Comp, sparse, shout styles with density hints</w:t>
      </w:r>
    </w:p>
    <w:p>
      <w:pPr>
        <w:pStyle w:val="Heading1"/>
      </w:pPr>
      <w:r>
        <w:t>Density Growth Logic</w:t>
      </w:r>
    </w:p>
    <w:p>
      <w:r>
        <w:t>`density_plan` maps section roles to 0–1 density</w:t>
      </w:r>
    </w:p>
    <w:p>
      <w:r>
        <w:t>Primary: moderate (0.5–0.6)</w:t>
      </w:r>
    </w:p>
    <w:p>
      <w:r>
        <w:t>Contrast: varied (0.4–0.7)</w:t>
      </w:r>
    </w:p>
    <w:p>
      <w:r>
        <w:t>Shout: high (0.9+)</w:t>
      </w:r>
    </w:p>
    <w:p>
      <w:r>
        <w:t>Return: moderate-high (0.6–0.8)</w:t>
      </w:r>
    </w:p>
    <w:p>
      <w:pPr>
        <w:pStyle w:val="Heading1"/>
      </w:pPr>
      <w:r>
        <w:t>How to Export MusicXML</w:t>
      </w:r>
    </w:p>
    <w:p>
      <w:pPr/>
      <w:r>
        <w:t>from engines.shared_composer.engine_registry import get_engine, ensure_engines_loaded</w:t>
        <w:br/>
        <w:br/>
        <w:br/>
        <w:br/>
        <w:t>ensure_engines_loaded()</w:t>
        <w:br/>
        <w:br/>
        <w:t>eng = get_engine("big_band")</w:t>
        <w:br/>
        <w:br/>
        <w:t>ir = eng.generate_ir("My Chart", mode="title", seed=0)</w:t>
        <w:br/>
        <w:br/>
        <w:t>compiled = eng.compile_from_ir(ir)</w:t>
        <w:br/>
        <w:br/>
        <w:t>xml = eng.export_musicxml(compiled)</w:t>
        <w:br/>
        <w:br/>
        <w:t># xml is valid MusicXML string</w:t>
      </w:r>
    </w:p>
    <w:p>
      <w:pPr>
        <w:pStyle w:val="Heading1"/>
      </w:pPr>
      <w:r>
        <w:t>Narrative Big Band Form</w:t>
      </w:r>
    </w:p>
    <w:p>
      <w:r>
        <w:t>The `narrative_big_band_form` module adds a form profile for lyrical, atmospheric, evolving jazz-orchestra writing.</w:t>
      </w:r>
    </w:p>
    <w:p>
      <w:r>
        <w:t>**Archetypes:** luminous_arc_form, transformed_return_form</w:t>
      </w:r>
    </w:p>
    <w:p>
      <w:r>
        <w:t>**Sections:** IntroAtmosphere → Exposition → TransitionalBuild → SoloEnvironment → Recomposition → Coda</w:t>
      </w:r>
    </w:p>
    <w:p>
      <w:r>
        <w:t>**Use with bridge:** `run_big_band_form_texture_bridge(..., big_band_form_profile="narrative_big_band_form")` to combine Shorter form + Ligeti texture + narrative big band host.</w:t>
      </w:r>
    </w:p>
    <w:p>
      <w:pPr>
        <w:pStyle w:val="Heading1"/>
      </w:pPr>
      <w:r>
        <w:t>Appendix: 20 Ways to Start a Big Band Composition</w:t>
      </w:r>
    </w:p>
    <w:p>
      <w:r>
        <w:t>1. Brass punch on beat 1</w:t>
      </w:r>
    </w:p>
    <w:p>
      <w:r>
        <w:t>2. Sax unison line, 2-bar phrase</w:t>
      </w:r>
    </w:p>
    <w:p>
      <w:r>
        <w:t>3. Rhythm section vamp, then brass entry</w:t>
      </w:r>
    </w:p>
    <w:p>
      <w:r>
        <w:t>4. Shout chord, then melody</w:t>
      </w:r>
    </w:p>
    <w:p>
      <w:r>
        <w:t>5. Layered ostinato, add melody</w:t>
      </w:r>
    </w:p>
    <w:p>
      <w:r>
        <w:t>6. Call-and-response: brass / sax</w:t>
      </w:r>
    </w:p>
    <w:p>
      <w:r>
        <w:t>7. Pedal point, sectional build</w:t>
      </w:r>
    </w:p>
    <w:p>
      <w:r>
        <w:t>8. Modal vamp, trumpet lead</w:t>
      </w:r>
    </w:p>
    <w:p>
      <w:r>
        <w:t>9. Chromatic bass line, sectional hits</w:t>
      </w:r>
    </w:p>
    <w:p>
      <w:r>
        <w:t>10. Unison sax, then split</w:t>
      </w:r>
    </w:p>
    <w:p>
      <w:r>
        <w:t>11. Brass fanfare, 5-bar</w:t>
      </w:r>
    </w:p>
    <w:p>
      <w:r>
        <w:t>12. Sparse comp, isolated hits</w:t>
      </w:r>
    </w:p>
    <w:p>
      <w:r>
        <w:t>13. Counterline first, melody second</w:t>
      </w:r>
    </w:p>
    <w:p>
      <w:r>
        <w:t>14. Sectional wave: density up then down</w:t>
      </w:r>
    </w:p>
    <w:p>
      <w:r>
        <w:t>15. Asymmetrical intro (7 bars)</w:t>
      </w:r>
    </w:p>
    <w:p>
      <w:r>
        <w:t>16. Return with density growth</w:t>
      </w:r>
    </w:p>
    <w:p>
      <w:r>
        <w:t>17. Shout chorus, 9-bar phrase</w:t>
      </w:r>
    </w:p>
    <w:p>
      <w:r>
        <w:t>18. Episode–return chart arc</w:t>
      </w:r>
    </w:p>
    <w:p>
      <w:r>
        <w:t>19. Modular block: primary–contrast–shout–return</w:t>
      </w:r>
    </w:p>
    <w:p>
      <w:r>
        <w:t>20. Layered ensemble motion, evolving density</w:t>
      </w:r>
    </w:p>
    <w:p>
      <w:pPr>
        <w:pStyle w:val="Heading1"/>
      </w:pPr>
      <w:r>
        <w:t>Appendix: 20 Ways to Start a Narrative Big Band Composition</w:t>
      </w:r>
    </w:p>
    <w:p>
      <w:r>
        <w:t>1. Atmosphere intro: suspended pads, 4–8 bars</w:t>
      </w:r>
    </w:p>
    <w:p>
      <w:r>
        <w:t>2. Lyrical exposition: motivic statement, 8–14 bars</w:t>
      </w:r>
    </w:p>
    <w:p>
      <w:r>
        <w:t>3. Transitional build: density increase, motive saturation</w:t>
      </w:r>
    </w:p>
    <w:p>
      <w:r>
        <w:t>4. Solo environment: floating harmonic center, 12–24 bars</w:t>
      </w:r>
    </w:p>
    <w:p>
      <w:r>
        <w:t>5. Recomposition: luminous homecoming or transformed echo</w:t>
      </w:r>
    </w:p>
    <w:p>
      <w:r>
        <w:t>6. Coda: dissolve, final broad sonority, or ostinato fade</w:t>
      </w:r>
    </w:p>
    <w:p>
      <w:r>
        <w:t>7. Structural phrase: 4–8 bars, mixed rhythm</w:t>
      </w:r>
    </w:p>
    <w:p>
      <w:r>
        <w:t>8. Hovering texture phrase: 5–9 bars, sustained</w:t>
      </w:r>
    </w:p>
    <w:p>
      <w:r>
        <w:t>9. Sequential build phrase: 4–7 bars, ascending</w:t>
      </w:r>
    </w:p>
    <w:p>
      <w:r>
        <w:t>10. Release phrase: 3–6 bars, decaying</w:t>
      </w:r>
    </w:p>
    <w:p>
      <w:r>
        <w:t>11. Motive introduction in exposition</w:t>
      </w:r>
    </w:p>
    <w:p>
      <w:r>
        <w:t>12. Motive variation: interval expansion, fragmentation</w:t>
      </w:r>
    </w:p>
    <w:p>
      <w:r>
        <w:t>13. Transition: density increase, pedal + harmonic brightening</w:t>
      </w:r>
    </w:p>
    <w:p>
      <w:r>
        <w:t>14. Transition: register climb, texture thickening</w:t>
      </w:r>
    </w:p>
    <w:p>
      <w:r>
        <w:t>15. Solo: static mode, slow harmonic sequence</w:t>
      </w:r>
    </w:p>
    <w:p>
      <w:r>
        <w:t>16. Solo: expanding-center option</w:t>
      </w:r>
    </w:p>
    <w:p>
      <w:r>
        <w:t>17. Recap: luminous_homecoming</w:t>
      </w:r>
    </w:p>
    <w:p>
      <w:r>
        <w:t>18. Recap: transformed_echo</w:t>
      </w:r>
    </w:p>
    <w:p>
      <w:r>
        <w:t>19. Coda: dissolve (4–10 bars)</w:t>
      </w:r>
    </w:p>
    <w:p>
      <w:r>
        <w:t>20. Coda: ostinato_fade (8–16 bars)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