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53C7" w14:textId="77777777" w:rsidR="00061B8E" w:rsidRDefault="00000000">
      <w:pPr>
        <w:pStyle w:val="Title"/>
      </w:pPr>
      <w:r>
        <w:t>Additional Ideas for Psychopathology &amp; Synthesis (V3.97)</w:t>
      </w:r>
    </w:p>
    <w:p w14:paraId="5C71BE4D" w14:textId="77777777" w:rsidR="00061B8E" w:rsidRDefault="00000000">
      <w:r>
        <w:rPr>
          <w:i/>
        </w:rPr>
        <w:t>Concepts grounded in published or standard sources (not student dissertation wording). Slide numbers refer to V3.97-Psychopathology-Synthesis.pptx.</w:t>
      </w:r>
    </w:p>
    <w:p w14:paraId="129E74FB" w14:textId="77777777" w:rsidR="00061B8E" w:rsidRDefault="00000000">
      <w:pPr>
        <w:pStyle w:val="Heading1"/>
      </w:pPr>
      <w:r>
        <w:t>Day 1 – 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061B8E" w14:paraId="0DD8BB7E" w14:textId="77777777">
        <w:tc>
          <w:tcPr>
            <w:tcW w:w="2880" w:type="dxa"/>
          </w:tcPr>
          <w:p w14:paraId="63FA6EF7" w14:textId="77777777" w:rsidR="00061B8E" w:rsidRDefault="00000000">
            <w:r>
              <w:t>Where</w:t>
            </w:r>
          </w:p>
        </w:tc>
        <w:tc>
          <w:tcPr>
            <w:tcW w:w="2880" w:type="dxa"/>
          </w:tcPr>
          <w:p w14:paraId="197FD2E6" w14:textId="77777777" w:rsidR="00061B8E" w:rsidRDefault="00000000">
            <w:r>
              <w:t>How to insert</w:t>
            </w:r>
          </w:p>
        </w:tc>
        <w:tc>
          <w:tcPr>
            <w:tcW w:w="2880" w:type="dxa"/>
          </w:tcPr>
          <w:p w14:paraId="57CA7AE0" w14:textId="77777777" w:rsidR="00061B8E" w:rsidRDefault="00000000">
            <w:r>
              <w:t>Concepts &amp; typical sources</w:t>
            </w:r>
          </w:p>
        </w:tc>
      </w:tr>
      <w:tr w:rsidR="00061B8E" w14:paraId="7454901C" w14:textId="77777777">
        <w:tc>
          <w:tcPr>
            <w:tcW w:w="2880" w:type="dxa"/>
          </w:tcPr>
          <w:p w14:paraId="4E9D9BA0" w14:textId="77777777" w:rsidR="00061B8E" w:rsidRDefault="00000000">
            <w:r>
              <w:t>After slide 5 or first bullets on slide 6</w:t>
            </w:r>
          </w:p>
        </w:tc>
        <w:tc>
          <w:tcPr>
            <w:tcW w:w="2880" w:type="dxa"/>
          </w:tcPr>
          <w:p w14:paraId="0F683493" w14:textId="77777777" w:rsidR="00061B8E" w:rsidRDefault="00000000">
            <w:r>
              <w:t>Add 1 short slide or 2 bullets</w:t>
            </w:r>
          </w:p>
        </w:tc>
        <w:tc>
          <w:tcPr>
            <w:tcW w:w="2880" w:type="dxa"/>
          </w:tcPr>
          <w:p w14:paraId="2BB5B103" w14:textId="77777777" w:rsidR="00061B8E" w:rsidRDefault="00000000">
            <w:r>
              <w:t>Formulation vs reification: diagnosis as pattern description and working hypothesis. NICE multimodal framing; person-centred caution on labels.</w:t>
            </w:r>
          </w:p>
        </w:tc>
      </w:tr>
      <w:tr w:rsidR="00061B8E" w14:paraId="320FD06D" w14:textId="77777777">
        <w:tc>
          <w:tcPr>
            <w:tcW w:w="2880" w:type="dxa"/>
          </w:tcPr>
          <w:p w14:paraId="6B298212" w14:textId="77777777" w:rsidR="00061B8E" w:rsidRDefault="00000000">
            <w:r>
              <w:t>Slide 6</w:t>
            </w:r>
          </w:p>
        </w:tc>
        <w:tc>
          <w:tcPr>
            <w:tcW w:w="2880" w:type="dxa"/>
          </w:tcPr>
          <w:p w14:paraId="326FEF24" w14:textId="77777777" w:rsidR="00061B8E" w:rsidRDefault="00000000">
            <w:r>
              <w:t>Add 2–3 bullets</w:t>
            </w:r>
          </w:p>
        </w:tc>
        <w:tc>
          <w:tcPr>
            <w:tcW w:w="2880" w:type="dxa"/>
          </w:tcPr>
          <w:p w14:paraId="0B3602A3" w14:textId="77777777" w:rsidR="00061B8E" w:rsidRDefault="00000000">
            <w:r>
              <w:t>Sub-personalities / multiple self-states (Assagioli): different attitudes to labels or ability.</w:t>
            </w:r>
          </w:p>
        </w:tc>
      </w:tr>
      <w:tr w:rsidR="00061B8E" w14:paraId="1ACFCEBA" w14:textId="77777777">
        <w:tc>
          <w:tcPr>
            <w:tcW w:w="2880" w:type="dxa"/>
          </w:tcPr>
          <w:p w14:paraId="23BBBBB1" w14:textId="77777777" w:rsidR="00061B8E" w:rsidRDefault="00000000">
            <w:r>
              <w:t>Slide 10</w:t>
            </w:r>
          </w:p>
        </w:tc>
        <w:tc>
          <w:tcPr>
            <w:tcW w:w="2880" w:type="dxa"/>
          </w:tcPr>
          <w:p w14:paraId="741C43D3" w14:textId="77777777" w:rsidR="00061B8E" w:rsidRDefault="00000000">
            <w:r>
              <w:t>Add bullets or one slide after 10</w:t>
            </w:r>
          </w:p>
        </w:tc>
        <w:tc>
          <w:tcPr>
            <w:tcW w:w="2880" w:type="dxa"/>
          </w:tcPr>
          <w:p w14:paraId="7B62DD46" w14:textId="77777777" w:rsidR="00061B8E" w:rsidRDefault="00000000">
            <w:r>
              <w:t>I and Self; bifocal vision (Whitmore); disidentification (Assagioli); Firman &amp; Gila on Self and identification.</w:t>
            </w:r>
          </w:p>
        </w:tc>
      </w:tr>
      <w:tr w:rsidR="00061B8E" w14:paraId="4147D303" w14:textId="77777777">
        <w:tc>
          <w:tcPr>
            <w:tcW w:w="2880" w:type="dxa"/>
          </w:tcPr>
          <w:p w14:paraId="313A78A2" w14:textId="77777777" w:rsidR="00061B8E" w:rsidRDefault="00000000">
            <w:r>
              <w:t>Slides 8–9 (Leah)</w:t>
            </w:r>
          </w:p>
        </w:tc>
        <w:tc>
          <w:tcPr>
            <w:tcW w:w="2880" w:type="dxa"/>
          </w:tcPr>
          <w:p w14:paraId="2B32A822" w14:textId="77777777" w:rsidR="00061B8E" w:rsidRDefault="00000000">
            <w:r>
              <w:t>Optional bullet on task slide</w:t>
            </w:r>
          </w:p>
        </w:tc>
        <w:tc>
          <w:tcPr>
            <w:tcW w:w="2880" w:type="dxa"/>
          </w:tcPr>
          <w:p w14:paraId="5168EC8E" w14:textId="77777777" w:rsidR="00061B8E" w:rsidRDefault="00000000">
            <w:r>
              <w:t>Shame and self-concept in ADHD with internalised presentation — peer-reviewed affect literature; Nerenberg-style clinical accounts on women.</w:t>
            </w:r>
          </w:p>
        </w:tc>
      </w:tr>
    </w:tbl>
    <w:p w14:paraId="7B76E23E" w14:textId="77777777" w:rsidR="00061B8E" w:rsidRDefault="00000000">
      <w:pPr>
        <w:pStyle w:val="Heading1"/>
      </w:pPr>
      <w:r>
        <w:t>Day 1 – PM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061B8E" w14:paraId="4D9C7EB3" w14:textId="77777777">
        <w:tc>
          <w:tcPr>
            <w:tcW w:w="2880" w:type="dxa"/>
          </w:tcPr>
          <w:p w14:paraId="1AD261A8" w14:textId="77777777" w:rsidR="00061B8E" w:rsidRDefault="00000000">
            <w:r>
              <w:t>Where</w:t>
            </w:r>
          </w:p>
        </w:tc>
        <w:tc>
          <w:tcPr>
            <w:tcW w:w="2880" w:type="dxa"/>
          </w:tcPr>
          <w:p w14:paraId="13F92AB3" w14:textId="77777777" w:rsidR="00061B8E" w:rsidRDefault="00000000">
            <w:r>
              <w:t>How to insert</w:t>
            </w:r>
          </w:p>
        </w:tc>
        <w:tc>
          <w:tcPr>
            <w:tcW w:w="2880" w:type="dxa"/>
          </w:tcPr>
          <w:p w14:paraId="58E7BF23" w14:textId="77777777" w:rsidR="00061B8E" w:rsidRDefault="00000000">
            <w:r>
              <w:t>Concepts &amp; typical sources</w:t>
            </w:r>
          </w:p>
        </w:tc>
      </w:tr>
      <w:tr w:rsidR="00061B8E" w14:paraId="11EEA521" w14:textId="77777777">
        <w:tc>
          <w:tcPr>
            <w:tcW w:w="2880" w:type="dxa"/>
          </w:tcPr>
          <w:p w14:paraId="07B582D4" w14:textId="77777777" w:rsidR="00061B8E" w:rsidRDefault="00000000">
            <w:r>
              <w:t>Slide 13</w:t>
            </w:r>
          </w:p>
        </w:tc>
        <w:tc>
          <w:tcPr>
            <w:tcW w:w="2880" w:type="dxa"/>
          </w:tcPr>
          <w:p w14:paraId="5968C4C6" w14:textId="77777777" w:rsidR="00061B8E" w:rsidRDefault="00000000">
            <w:r>
              <w:t>Add 2–3 bullets</w:t>
            </w:r>
          </w:p>
        </w:tc>
        <w:tc>
          <w:tcPr>
            <w:tcW w:w="2880" w:type="dxa"/>
          </w:tcPr>
          <w:p w14:paraId="2351BDE4" w14:textId="77777777" w:rsidR="00061B8E" w:rsidRDefault="00000000">
            <w:r>
              <w:t>Neurodiversity as cognitive variation (Singer; ND movement). Executive functions: planning, inhibition, working memory — DSM-5 domain; Barkley-type reviews.</w:t>
            </w:r>
          </w:p>
        </w:tc>
      </w:tr>
      <w:tr w:rsidR="00061B8E" w14:paraId="6B4FFC63" w14:textId="77777777">
        <w:tc>
          <w:tcPr>
            <w:tcW w:w="2880" w:type="dxa"/>
          </w:tcPr>
          <w:p w14:paraId="0B41998A" w14:textId="77777777" w:rsidR="00061B8E" w:rsidRDefault="00000000">
            <w:r>
              <w:t>Slide 14</w:t>
            </w:r>
          </w:p>
        </w:tc>
        <w:tc>
          <w:tcPr>
            <w:tcW w:w="2880" w:type="dxa"/>
          </w:tcPr>
          <w:p w14:paraId="6EABFF99" w14:textId="77777777" w:rsidR="00061B8E" w:rsidRDefault="00000000">
            <w:r>
              <w:t>Add bullets</w:t>
            </w:r>
          </w:p>
        </w:tc>
        <w:tc>
          <w:tcPr>
            <w:tcW w:w="2880" w:type="dxa"/>
          </w:tcPr>
          <w:p w14:paraId="577980D3" w14:textId="77777777" w:rsidR="00061B8E" w:rsidRDefault="00000000">
            <w:r>
              <w:t xml:space="preserve">Masking / camouflaging; gender socialisation; internalised ADHD </w:t>
            </w:r>
            <w:r>
              <w:lastRenderedPageBreak/>
              <w:t>presentation (women &amp; ADHD literature). Cost of compensation / burnout at life transitions.</w:t>
            </w:r>
          </w:p>
        </w:tc>
      </w:tr>
      <w:tr w:rsidR="00061B8E" w14:paraId="3D945268" w14:textId="77777777">
        <w:tc>
          <w:tcPr>
            <w:tcW w:w="2880" w:type="dxa"/>
          </w:tcPr>
          <w:p w14:paraId="769244B8" w14:textId="77777777" w:rsidR="00061B8E" w:rsidRDefault="00000000">
            <w:r>
              <w:lastRenderedPageBreak/>
              <w:t>Slides 15–16 (Ousmane)</w:t>
            </w:r>
          </w:p>
        </w:tc>
        <w:tc>
          <w:tcPr>
            <w:tcW w:w="2880" w:type="dxa"/>
          </w:tcPr>
          <w:p w14:paraId="64633044" w14:textId="77777777" w:rsidR="00061B8E" w:rsidRDefault="00000000">
            <w:r>
              <w:t>One bullet on task or case</w:t>
            </w:r>
          </w:p>
        </w:tc>
        <w:tc>
          <w:tcPr>
            <w:tcW w:w="2880" w:type="dxa"/>
          </w:tcPr>
          <w:p w14:paraId="4C3F906C" w14:textId="77777777" w:rsidR="00061B8E" w:rsidRDefault="00000000">
            <w:r>
              <w:t>Environment × person: adjusting demands and context — NICE multimodal; environment fit (e.g. SDT: Deci &amp; Ryan).</w:t>
            </w:r>
          </w:p>
        </w:tc>
      </w:tr>
      <w:tr w:rsidR="00061B8E" w14:paraId="3C3CCC5F" w14:textId="77777777">
        <w:tc>
          <w:tcPr>
            <w:tcW w:w="2880" w:type="dxa"/>
          </w:tcPr>
          <w:p w14:paraId="7E2A2B15" w14:textId="77777777" w:rsidR="00061B8E" w:rsidRDefault="00000000">
            <w:r>
              <w:t>Slide 17</w:t>
            </w:r>
          </w:p>
        </w:tc>
        <w:tc>
          <w:tcPr>
            <w:tcW w:w="2880" w:type="dxa"/>
          </w:tcPr>
          <w:p w14:paraId="32C3B386" w14:textId="77777777" w:rsidR="00061B8E" w:rsidRDefault="00000000">
            <w:r>
              <w:t>Add bullets</w:t>
            </w:r>
          </w:p>
        </w:tc>
        <w:tc>
          <w:tcPr>
            <w:tcW w:w="2880" w:type="dxa"/>
          </w:tcPr>
          <w:p w14:paraId="18CAEEEE" w14:textId="77777777" w:rsidR="00061B8E" w:rsidRDefault="00000000">
            <w:r>
              <w:t>Strengths vs impairments as context-dependent (Nordby et al.-type empirical work). External supports (routine, reminders) as ethical practice.</w:t>
            </w:r>
          </w:p>
        </w:tc>
      </w:tr>
      <w:tr w:rsidR="00061B8E" w14:paraId="1FCDED5E" w14:textId="77777777">
        <w:tc>
          <w:tcPr>
            <w:tcW w:w="2880" w:type="dxa"/>
          </w:tcPr>
          <w:p w14:paraId="03791CED" w14:textId="77777777" w:rsidR="00061B8E" w:rsidRDefault="00000000">
            <w:r>
              <w:t>Optional: after slide 13 or 17</w:t>
            </w:r>
          </w:p>
        </w:tc>
        <w:tc>
          <w:tcPr>
            <w:tcW w:w="2880" w:type="dxa"/>
          </w:tcPr>
          <w:p w14:paraId="58575D5A" w14:textId="77777777" w:rsidR="00061B8E" w:rsidRDefault="00000000">
            <w:r>
              <w:t>New slide: Diagnosis and identity</w:t>
            </w:r>
          </w:p>
        </w:tc>
        <w:tc>
          <w:tcPr>
            <w:tcW w:w="2880" w:type="dxa"/>
          </w:tcPr>
          <w:p w14:paraId="2AA53ACF" w14:textId="77777777" w:rsidR="00061B8E" w:rsidRDefault="00000000">
            <w:r>
              <w:t>Firman &amp; Gila: external unifying centre — diagnosis may temporarily organise experience while Self is broader (their framework, not student work).</w:t>
            </w:r>
          </w:p>
        </w:tc>
      </w:tr>
    </w:tbl>
    <w:p w14:paraId="3A1804A4" w14:textId="77777777" w:rsidR="00061B8E" w:rsidRDefault="00000000">
      <w:pPr>
        <w:pStyle w:val="Heading1"/>
      </w:pPr>
      <w:r>
        <w:t>Day 2 – 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061B8E" w14:paraId="0F40A4DA" w14:textId="77777777">
        <w:tc>
          <w:tcPr>
            <w:tcW w:w="2880" w:type="dxa"/>
          </w:tcPr>
          <w:p w14:paraId="4676EB15" w14:textId="77777777" w:rsidR="00061B8E" w:rsidRDefault="00000000">
            <w:r>
              <w:t>Where</w:t>
            </w:r>
          </w:p>
        </w:tc>
        <w:tc>
          <w:tcPr>
            <w:tcW w:w="2880" w:type="dxa"/>
          </w:tcPr>
          <w:p w14:paraId="5B2566DC" w14:textId="77777777" w:rsidR="00061B8E" w:rsidRDefault="00000000">
            <w:r>
              <w:t>How to insert</w:t>
            </w:r>
          </w:p>
        </w:tc>
        <w:tc>
          <w:tcPr>
            <w:tcW w:w="2880" w:type="dxa"/>
          </w:tcPr>
          <w:p w14:paraId="44E7E4C8" w14:textId="77777777" w:rsidR="00061B8E" w:rsidRDefault="00000000">
            <w:r>
              <w:t>Concepts &amp; typical sources</w:t>
            </w:r>
          </w:p>
        </w:tc>
      </w:tr>
      <w:tr w:rsidR="00061B8E" w14:paraId="7CA6D343" w14:textId="77777777">
        <w:tc>
          <w:tcPr>
            <w:tcW w:w="2880" w:type="dxa"/>
          </w:tcPr>
          <w:p w14:paraId="3E00EAA7" w14:textId="77777777" w:rsidR="00061B8E" w:rsidRDefault="00000000">
            <w:r>
              <w:t>Slide 20 (or new 19a)</w:t>
            </w:r>
          </w:p>
        </w:tc>
        <w:tc>
          <w:tcPr>
            <w:tcW w:w="2880" w:type="dxa"/>
          </w:tcPr>
          <w:p w14:paraId="4436EFFF" w14:textId="77777777" w:rsidR="00061B8E" w:rsidRDefault="00000000">
            <w:r>
              <w:t>2 bullets max</w:t>
            </w:r>
          </w:p>
        </w:tc>
        <w:tc>
          <w:tcPr>
            <w:tcW w:w="2880" w:type="dxa"/>
          </w:tcPr>
          <w:p w14:paraId="0AA1CFA0" w14:textId="77777777" w:rsidR="00061B8E" w:rsidRDefault="00000000">
            <w:r>
              <w:t>Co-occurrence / differential formulation: trauma and ADHD can overlap in presentation; assess both. Trauma-informed care without reducing ADHD to trauma. Multiple explanatory frames (e.g. socio-environmental voices vs neurodevelopmental evidence) — hold without premature closure.</w:t>
            </w:r>
          </w:p>
        </w:tc>
      </w:tr>
      <w:tr w:rsidR="00061B8E" w14:paraId="3D59E2BE" w14:textId="77777777">
        <w:tc>
          <w:tcPr>
            <w:tcW w:w="2880" w:type="dxa"/>
          </w:tcPr>
          <w:p w14:paraId="27039CA4" w14:textId="77777777" w:rsidR="00061B8E" w:rsidRDefault="00000000">
            <w:r>
              <w:t>Slide 21</w:t>
            </w:r>
          </w:p>
        </w:tc>
        <w:tc>
          <w:tcPr>
            <w:tcW w:w="2880" w:type="dxa"/>
          </w:tcPr>
          <w:p w14:paraId="509CF740" w14:textId="77777777" w:rsidR="00061B8E" w:rsidRDefault="00000000">
            <w:r>
              <w:t>Optional linking bullet (careful)</w:t>
            </w:r>
          </w:p>
        </w:tc>
        <w:tc>
          <w:tcPr>
            <w:tcW w:w="2880" w:type="dxa"/>
          </w:tcPr>
          <w:p w14:paraId="30C62A84" w14:textId="77777777" w:rsidR="00061B8E" w:rsidRDefault="00000000">
            <w:r>
              <w:t>Overlapping regulation difficulties — general trauma/dissociation literature; do not equate diagnoses.</w:t>
            </w:r>
          </w:p>
        </w:tc>
      </w:tr>
      <w:tr w:rsidR="00061B8E" w14:paraId="6B722D43" w14:textId="77777777">
        <w:tc>
          <w:tcPr>
            <w:tcW w:w="2880" w:type="dxa"/>
          </w:tcPr>
          <w:p w14:paraId="3C5C763B" w14:textId="77777777" w:rsidR="00061B8E" w:rsidRDefault="00000000">
            <w:r>
              <w:t>Slide 24</w:t>
            </w:r>
          </w:p>
        </w:tc>
        <w:tc>
          <w:tcPr>
            <w:tcW w:w="2880" w:type="dxa"/>
          </w:tcPr>
          <w:p w14:paraId="42307BCB" w14:textId="77777777" w:rsidR="00061B8E" w:rsidRDefault="00000000">
            <w:r>
              <w:t>One bullet</w:t>
            </w:r>
          </w:p>
        </w:tc>
        <w:tc>
          <w:tcPr>
            <w:tcW w:w="2880" w:type="dxa"/>
          </w:tcPr>
          <w:p w14:paraId="5909E3BA" w14:textId="77777777" w:rsidR="00061B8E" w:rsidRDefault="00000000">
            <w:r>
              <w:t>Repeated relational and behavioural experience shapes regulation — Siegel; neuroplasticity reviews.</w:t>
            </w:r>
          </w:p>
        </w:tc>
      </w:tr>
    </w:tbl>
    <w:p w14:paraId="163F4340" w14:textId="77777777" w:rsidR="00061B8E" w:rsidRDefault="00000000">
      <w:pPr>
        <w:pStyle w:val="Heading1"/>
      </w:pPr>
      <w:r>
        <w:lastRenderedPageBreak/>
        <w:t>Day 2 – PM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061B8E" w14:paraId="6136E837" w14:textId="77777777">
        <w:tc>
          <w:tcPr>
            <w:tcW w:w="2880" w:type="dxa"/>
          </w:tcPr>
          <w:p w14:paraId="1403B4E9" w14:textId="77777777" w:rsidR="00061B8E" w:rsidRDefault="00000000">
            <w:r>
              <w:t>Where</w:t>
            </w:r>
          </w:p>
        </w:tc>
        <w:tc>
          <w:tcPr>
            <w:tcW w:w="2880" w:type="dxa"/>
          </w:tcPr>
          <w:p w14:paraId="6D400D22" w14:textId="77777777" w:rsidR="00061B8E" w:rsidRDefault="00000000">
            <w:r>
              <w:t>How to insert</w:t>
            </w:r>
          </w:p>
        </w:tc>
        <w:tc>
          <w:tcPr>
            <w:tcW w:w="2880" w:type="dxa"/>
          </w:tcPr>
          <w:p w14:paraId="4D44BDEC" w14:textId="77777777" w:rsidR="00061B8E" w:rsidRDefault="00000000">
            <w:r>
              <w:t>Concepts &amp; typical sources</w:t>
            </w:r>
          </w:p>
        </w:tc>
      </w:tr>
      <w:tr w:rsidR="00061B8E" w14:paraId="5A729B59" w14:textId="77777777">
        <w:tc>
          <w:tcPr>
            <w:tcW w:w="2880" w:type="dxa"/>
          </w:tcPr>
          <w:p w14:paraId="12776BE3" w14:textId="77777777" w:rsidR="00061B8E" w:rsidRDefault="00000000">
            <w:r>
              <w:t>Slides 31–32 (Michael)</w:t>
            </w:r>
          </w:p>
        </w:tc>
        <w:tc>
          <w:tcPr>
            <w:tcW w:w="2880" w:type="dxa"/>
          </w:tcPr>
          <w:p w14:paraId="0A729825" w14:textId="77777777" w:rsidR="00061B8E" w:rsidRDefault="00000000">
            <w:r>
              <w:t>1–2 bullets</w:t>
            </w:r>
          </w:p>
        </w:tc>
        <w:tc>
          <w:tcPr>
            <w:tcW w:w="2880" w:type="dxa"/>
          </w:tcPr>
          <w:p w14:paraId="69436B27" w14:textId="77777777" w:rsidR="00061B8E" w:rsidRDefault="00000000">
            <w:r>
              <w:t>Epistemic humility: multiple frameworks coexist — sociology of diagnosis (e.g. Hacking, Conrad) if desired.</w:t>
            </w:r>
          </w:p>
        </w:tc>
      </w:tr>
      <w:tr w:rsidR="00061B8E" w14:paraId="742B781F" w14:textId="77777777">
        <w:tc>
          <w:tcPr>
            <w:tcW w:w="2880" w:type="dxa"/>
          </w:tcPr>
          <w:p w14:paraId="79BE798C" w14:textId="77777777" w:rsidR="00061B8E" w:rsidRDefault="00000000">
            <w:r>
              <w:t>Slide 33</w:t>
            </w:r>
          </w:p>
        </w:tc>
        <w:tc>
          <w:tcPr>
            <w:tcW w:w="2880" w:type="dxa"/>
          </w:tcPr>
          <w:p w14:paraId="1B49F65C" w14:textId="77777777" w:rsidR="00061B8E" w:rsidRDefault="00000000">
            <w:r>
              <w:t>One bullet</w:t>
            </w:r>
          </w:p>
        </w:tc>
        <w:tc>
          <w:tcPr>
            <w:tcW w:w="2880" w:type="dxa"/>
          </w:tcPr>
          <w:p w14:paraId="7F7CDCB1" w14:textId="77777777" w:rsidR="00061B8E" w:rsidRDefault="00000000">
            <w:r>
              <w:t>Supervision to hold uncertainty — BACP/UKCP ethics; Firman &amp; Gila on identification.</w:t>
            </w:r>
          </w:p>
        </w:tc>
      </w:tr>
    </w:tbl>
    <w:p w14:paraId="42AC26FC" w14:textId="77777777" w:rsidR="00061B8E" w:rsidRDefault="00000000">
      <w:pPr>
        <w:pStyle w:val="Heading1"/>
      </w:pPr>
      <w:r>
        <w:t>How to insert (mechanically)</w:t>
      </w:r>
    </w:p>
    <w:p w14:paraId="616076C6" w14:textId="77777777" w:rsidR="00061B8E" w:rsidRDefault="00000000">
      <w:pPr>
        <w:pStyle w:val="ListBullet"/>
      </w:pPr>
      <w:r>
        <w:t>Minimal: add 2–4 bullets to slides 6, 10, 13, 14, 17, 20, 33.</w:t>
      </w:r>
    </w:p>
    <w:p w14:paraId="4CB972FB" w14:textId="77777777" w:rsidR="00061B8E" w:rsidRDefault="00000000">
      <w:pPr>
        <w:pStyle w:val="ListBullet"/>
      </w:pPr>
      <w:r>
        <w:t>Clearer structure: insert two new slides — e.g. Diagnosis, identity, Self (Firman &amp; Gila + formulation) after slide 10; ADHD often missed in women (masking, internalising) after slide 13.</w:t>
      </w:r>
    </w:p>
    <w:p w14:paraId="017CD3FD" w14:textId="77777777" w:rsidR="00061B8E" w:rsidRDefault="00000000">
      <w:pPr>
        <w:pStyle w:val="ListBullet"/>
      </w:pPr>
      <w:r>
        <w:t>Slide footers: one line per major cite (Assagioli, Firman &amp; Gila, Whitmore, NICE, Nordby et al., etc.) using your editions.</w:t>
      </w:r>
    </w:p>
    <w:p w14:paraId="2CDD4B5B" w14:textId="77777777" w:rsidR="00061B8E" w:rsidRDefault="00000000">
      <w:pPr>
        <w:pStyle w:val="Heading1"/>
      </w:pPr>
      <w:r>
        <w:t>Quick reference — standard vocabulary</w:t>
      </w:r>
    </w:p>
    <w:p w14:paraId="40A0AF9C" w14:textId="77777777" w:rsidR="00061B8E" w:rsidRDefault="00000000">
      <w:pPr>
        <w:pStyle w:val="ListBullet"/>
      </w:pPr>
      <w:r>
        <w:t>Sub-personalities / disidentification — Assagioli</w:t>
      </w:r>
    </w:p>
    <w:p w14:paraId="6F7DD8EF" w14:textId="77777777" w:rsidR="00061B8E" w:rsidRDefault="00000000">
      <w:pPr>
        <w:pStyle w:val="ListBullet"/>
      </w:pPr>
      <w:r>
        <w:t>I and Self, bifocal vision — Whitmore; Firman &amp; Gila</w:t>
      </w:r>
    </w:p>
    <w:p w14:paraId="49F84880" w14:textId="77777777" w:rsidR="00061B8E" w:rsidRDefault="00000000">
      <w:pPr>
        <w:pStyle w:val="ListBullet"/>
      </w:pPr>
      <w:r>
        <w:t>External unifying centre — Firman &amp; Gila</w:t>
      </w:r>
    </w:p>
    <w:p w14:paraId="5502441E" w14:textId="77777777" w:rsidR="00061B8E" w:rsidRDefault="00000000">
      <w:pPr>
        <w:pStyle w:val="ListBullet"/>
      </w:pPr>
      <w:r>
        <w:t>Neurodiversity — Singer / neurodiversity movement</w:t>
      </w:r>
    </w:p>
    <w:p w14:paraId="52FC2922" w14:textId="77777777" w:rsidR="00061B8E" w:rsidRDefault="00000000">
      <w:pPr>
        <w:pStyle w:val="ListBullet"/>
      </w:pPr>
      <w:r>
        <w:t>Executive dysfunction — DSM-5; Barkley-type reviews</w:t>
      </w:r>
    </w:p>
    <w:p w14:paraId="2EC2EF52" w14:textId="77777777" w:rsidR="00061B8E" w:rsidRDefault="00000000">
      <w:pPr>
        <w:pStyle w:val="ListBullet"/>
      </w:pPr>
      <w:r>
        <w:t>Masking, gendered presentation — women &amp; ADHD literature (e.g. Nerenberg; peer-reviewed sex-difference studies)</w:t>
      </w:r>
    </w:p>
    <w:p w14:paraId="0763DAD5" w14:textId="77777777" w:rsidR="00061B8E" w:rsidRDefault="00000000">
      <w:pPr>
        <w:pStyle w:val="ListBullet"/>
      </w:pPr>
      <w:r>
        <w:t>Context-dependent strengths/impairments — Nordby et al.-type work</w:t>
      </w:r>
    </w:p>
    <w:p w14:paraId="1CCEE024" w14:textId="77777777" w:rsidR="00061B8E" w:rsidRDefault="00000000">
      <w:pPr>
        <w:pStyle w:val="ListBullet"/>
      </w:pPr>
      <w:r>
        <w:t>Multimodal, psychoeducation, environment — NICE</w:t>
      </w:r>
    </w:p>
    <w:p w14:paraId="477998D9" w14:textId="77777777" w:rsidR="00061B8E" w:rsidRDefault="00000000">
      <w:pPr>
        <w:pStyle w:val="ListBullet"/>
      </w:pPr>
      <w:r>
        <w:t>Trauma-informed + differential diagnosis — trauma guidelines; APA</w:t>
      </w:r>
    </w:p>
    <w:p w14:paraId="1EE99985" w14:textId="77777777" w:rsidR="00061B8E" w:rsidRDefault="00000000">
      <w:pPr>
        <w:pStyle w:val="ListBullet"/>
      </w:pPr>
      <w:r>
        <w:t>Professional humility, supervision — ethical frameworks</w:t>
      </w:r>
    </w:p>
    <w:p w14:paraId="02B3513F" w14:textId="77777777" w:rsidR="00061B8E" w:rsidRDefault="00061B8E"/>
    <w:p w14:paraId="34408DC4" w14:textId="77777777" w:rsidR="00061B8E" w:rsidRDefault="00000000">
      <w:r>
        <w:rPr>
          <w:i/>
        </w:rPr>
        <w:t>Related file: V3.97-Psychopathology-Synthesis.pptx</w:t>
      </w:r>
    </w:p>
    <w:sectPr w:rsidR="00061B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853313">
    <w:abstractNumId w:val="8"/>
  </w:num>
  <w:num w:numId="2" w16cid:durableId="557129349">
    <w:abstractNumId w:val="6"/>
  </w:num>
  <w:num w:numId="3" w16cid:durableId="1221791919">
    <w:abstractNumId w:val="5"/>
  </w:num>
  <w:num w:numId="4" w16cid:durableId="850144339">
    <w:abstractNumId w:val="4"/>
  </w:num>
  <w:num w:numId="5" w16cid:durableId="864169693">
    <w:abstractNumId w:val="7"/>
  </w:num>
  <w:num w:numId="6" w16cid:durableId="1521049958">
    <w:abstractNumId w:val="3"/>
  </w:num>
  <w:num w:numId="7" w16cid:durableId="1973168769">
    <w:abstractNumId w:val="2"/>
  </w:num>
  <w:num w:numId="8" w16cid:durableId="1037463322">
    <w:abstractNumId w:val="1"/>
  </w:num>
  <w:num w:numId="9" w16cid:durableId="96844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7AF"/>
    <w:rsid w:val="00034616"/>
    <w:rsid w:val="0006063C"/>
    <w:rsid w:val="00061B8E"/>
    <w:rsid w:val="0015074B"/>
    <w:rsid w:val="002120E7"/>
    <w:rsid w:val="0029639D"/>
    <w:rsid w:val="00326F90"/>
    <w:rsid w:val="00755850"/>
    <w:rsid w:val="00AA1D8D"/>
    <w:rsid w:val="00B2286C"/>
    <w:rsid w:val="00B47730"/>
    <w:rsid w:val="00B73E17"/>
    <w:rsid w:val="00CB0664"/>
    <w:rsid w:val="00D42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00158"/>
  <w14:defaultImageDpi w14:val="300"/>
  <w15:docId w15:val="{91A48610-C337-48C3-B927-C63B6806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577</Words>
  <Characters>3374</Characters>
  <Application>Microsoft Office Word</Application>
  <DocSecurity>0</DocSecurity>
  <Lines>60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Mike Bryant</cp:lastModifiedBy>
  <cp:revision>2</cp:revision>
  <cp:lastPrinted>2026-04-09T21:18:00Z</cp:lastPrinted>
  <dcterms:created xsi:type="dcterms:W3CDTF">2026-04-10T07:21:00Z</dcterms:created>
  <dcterms:modified xsi:type="dcterms:W3CDTF">2026-04-10T07:21:00Z</dcterms:modified>
  <cp:category/>
</cp:coreProperties>
</file>