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ACE-Case Emily — Dissociation</w:t>
      </w:r>
    </w:p>
    <w:p>
      <w:pPr>
        <w:spacing w:after="120" w:line="276" w:lineRule="auto"/>
      </w:pPr>
      <w:r>
        <w:rPr>
          <w:rFonts w:ascii="Calibri" w:hAnsi="Calibri"/>
          <w:b w:val="0"/>
          <w:sz w:val="22"/>
        </w:rPr>
        <w:t>Emily is twenty-two and in the middle of a degree. She describes anxiety, low mood, and self-harm that has become more frequent over recent months. Deadlines and seminar participation feel impossible on bad weeks; she sits in the library unable to start, then berates herself for wasting fees. Concentration fragments under worry about grades, money, and what happens after graduation. Sleep is patchy. She often eats irregularly, which she dismisses as “not important compared to how I feel in my head.”</w:t>
      </w:r>
    </w:p>
    <w:p>
      <w:pPr>
        <w:spacing w:after="120" w:line="276" w:lineRule="auto"/>
      </w:pPr>
      <w:r>
        <w:rPr>
          <w:rFonts w:ascii="Calibri" w:hAnsi="Calibri"/>
          <w:b w:val="0"/>
          <w:sz w:val="22"/>
        </w:rPr>
        <w:t>She reports repeated episodes of feeling cut off from her body or surroundings, for minutes or longer. Sounds may seem distant; her hands can feel unfamiliar. She loses track of time. She feels frightened when she “comes back,” unsure what happened in the gap. Dissociation can hide risk from her in the moment. It can make self-report uneven from one hour to the next. Risk must be assessed with that in mind.</w:t>
      </w:r>
    </w:p>
    <w:p>
      <w:pPr>
        <w:spacing w:after="120" w:line="276" w:lineRule="auto"/>
      </w:pPr>
      <w:r>
        <w:rPr>
          <w:rFonts w:ascii="Calibri" w:hAnsi="Calibri"/>
          <w:b w:val="0"/>
          <w:sz w:val="22"/>
        </w:rPr>
        <w:t>She missed a counselling appointment without warning. Later she said she had been in a fog for hours and lost track of time and obligation. Lectures are attended less often. She has stopped answering messages from coursemates. She is not certain she can keep herself safe. She is torn about more intensive help, fearing loss of autonomy, leave from study, or being seen as manipulative. Her family value stoicism and “pushing through.” They know only fragments; she expects disappointment or anger if she is fully honest.</w:t>
      </w:r>
    </w:p>
    <w:p>
      <w:pPr>
        <w:spacing w:after="120" w:line="276" w:lineRule="auto"/>
      </w:pPr>
      <w:r>
        <w:rPr>
          <w:rFonts w:ascii="Calibri" w:hAnsi="Calibri"/>
          <w:b w:val="0"/>
          <w:sz w:val="22"/>
        </w:rPr>
        <w:t>Dissociation is central, not peripheral. Stabilisation-first work might include, for example, brief grounding in session, a simple sleep or meal routine to aim for, or one small academic boundary negotiated with clear support (such as a single agreed extension)—illustrations only, not a protocol. The teaching focus is risk in this context, whether current counselling frequency is enough, and what to defer until stability improves. There is no single traumatic index event in the material provided; do not invent trauma history. Work only with what she offers.</w:t>
      </w:r>
    </w:p>
    <w:p/>
    <w:p>
      <w:pPr>
        <w:spacing w:after="160" w:line="276" w:lineRule="auto"/>
      </w:pPr>
      <w:r>
        <w:rPr>
          <w:rFonts w:ascii="Calibri" w:hAnsi="Calibri"/>
          <w:b/>
          <w:sz w:val="22"/>
        </w:rPr>
        <w:t xml:space="preserve">Trainee instruction: </w:t>
      </w:r>
      <w:r>
        <w:rPr>
          <w:rFonts w:ascii="Calibri" w:hAnsi="Calibri"/>
          <w:sz w:val="22"/>
        </w:rPr>
        <w:t>In this exercise, please do not use teaching time asking about missing background details; instead, agree as a group to “fill in the gaps” so you can focus on completing the clinical task.</w:t>
      </w:r>
    </w:p>
    <w:p/>
    <w:p>
      <w:r>
        <w:rPr>
          <w:rFonts w:ascii="Calibri" w:hAnsi="Calibri"/>
          <w:b/>
          <w:sz w:val="22"/>
        </w:rPr>
        <w:t>Tasks</w:t>
      </w:r>
    </w:p>
    <w:p>
      <w:pPr>
        <w:spacing w:after="120" w:line="276" w:lineRule="auto"/>
      </w:pPr>
      <w:r>
        <w:rPr>
          <w:rFonts w:ascii="Calibri" w:hAnsi="Calibri"/>
          <w:b w:val="0"/>
          <w:sz w:val="22"/>
        </w:rPr>
        <w:t>1. Identify dissociative indicators in the narrative and spell out how each might raise or obscure risk.</w:t>
      </w:r>
    </w:p>
    <w:p>
      <w:pPr>
        <w:spacing w:after="120" w:line="276" w:lineRule="auto"/>
      </w:pPr>
      <w:r>
        <w:rPr>
          <w:rFonts w:ascii="Calibri" w:hAnsi="Calibri"/>
          <w:b w:val="0"/>
          <w:sz w:val="22"/>
        </w:rPr>
        <w:t>2. Decide whether you would continue as planned, intensify support within current services, or escalate (and what escalation means in your setting).</w:t>
      </w:r>
    </w:p>
    <w:p>
      <w:pPr>
        <w:spacing w:after="120" w:line="276" w:lineRule="auto"/>
      </w:pPr>
      <w:r>
        <w:rPr>
          <w:rFonts w:ascii="Calibri" w:hAnsi="Calibri"/>
          <w:b w:val="0"/>
          <w:sz w:val="22"/>
        </w:rPr>
        <w:t>3. Outline a stabilisation-first plan for the next few sessions, including pacing, focus of interventions, and what you would explicitly not do yet.</w:t>
      </w:r>
    </w:p>
    <w:p/>
    <w:p>
      <w:pPr>
        <w:spacing w:after="160" w:line="276" w:lineRule="auto"/>
      </w:pPr>
      <w:r>
        <w:rPr>
          <w:rFonts w:ascii="Calibri" w:hAnsi="Calibri"/>
          <w:b/>
          <w:sz w:val="22"/>
        </w:rPr>
        <w:t xml:space="preserve">ACE-Cases score intention: </w:t>
      </w:r>
      <w:r>
        <w:rPr>
          <w:rFonts w:ascii="Calibri" w:hAnsi="Calibri"/>
          <w:sz w:val="22"/>
        </w:rPr>
        <w:t>Subtle dissociation, ambiguous safety, and family context create a clear data-to-decision chain; stabilisation examples anchor the phased task without becoming a manual; tasks target risk, escalation judgement, and phased care—supporting analytical clarity, clinical completeness, evidence integration, and educational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