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ACE-Case Leah — Shame</w:t>
      </w:r>
    </w:p>
    <w:p>
      <w:pPr>
        <w:spacing w:after="120" w:line="276" w:lineRule="auto"/>
      </w:pPr>
      <w:r>
        <w:rPr>
          <w:rFonts w:ascii="Calibri" w:hAnsi="Calibri"/>
          <w:b w:val="0"/>
          <w:sz w:val="22"/>
        </w:rPr>
        <w:t>Leah is twenty-three and self-referred to a low-cost counselling service. She lives with parents who tell professionals she is capable but cannot “get going.” In their world, adulthood is tied to steady employment and self-sufficiency; her repeated job losses sit inside a family story that she is “wasting her education,” which deepens shame and hiding. Over roughly two years she has taken jobs in shops and cafés and left each within weeks. Busy floors, unpredictable shifts, and managerial scrutiny flood her with anxiety; she calls in sick, then stops going. Each exit sharpens a private sense of failure. She retreats to her room much of the day, sleeps at odd hours—often awake late on her phone, asleep past morning commitments—and has let friendships lapse, saying others should not have to “carry” her.</w:t>
      </w:r>
    </w:p>
    <w:p>
      <w:pPr>
        <w:spacing w:after="120" w:line="276" w:lineRule="auto"/>
      </w:pPr>
      <w:r>
        <w:rPr>
          <w:rFonts w:ascii="Calibri" w:hAnsi="Calibri"/>
          <w:b w:val="0"/>
          <w:sz w:val="22"/>
        </w:rPr>
        <w:t>She describes low mood, little energy, and intrusive thoughts that she ruins everything and that effort is pointless. After social contact she ruminates on whether she said the wrong thing. A friend has wondered aloud about autism or ADHD. Leah recognises sensory overload and exhaustion cycles but refuses formal assessment, fearing a label would define her. Any exploration of neurodivergence-relevant themes needs to stay tentative, descriptive, and co-created—not diagnostic or labelling.</w:t>
      </w:r>
    </w:p>
    <w:p>
      <w:pPr>
        <w:spacing w:after="120" w:line="276" w:lineRule="auto"/>
      </w:pPr>
      <w:r>
        <w:rPr>
          <w:rFonts w:ascii="Calibri" w:hAnsi="Calibri"/>
          <w:b w:val="0"/>
          <w:sz w:val="22"/>
        </w:rPr>
        <w:t>In the opening appointment, when risk is explored calmly, she denies past self-harm yet admits passive thoughts of not wanting to be alive. She mentions a recent row with her parents after which she stood at the household medicine cupboard wanting “everything to stop,” then stepped away within minutes without taking anything. She has not disclosed this to family or GP. She is unsure therapy can help—part of her hopes to “get back on track,” part expects to drop out as she has dropped jobs.</w:t>
      </w:r>
    </w:p>
    <w:p>
      <w:pPr>
        <w:spacing w:after="120" w:line="276" w:lineRule="auto"/>
      </w:pPr>
      <w:r>
        <w:rPr>
          <w:rFonts w:ascii="Calibri" w:hAnsi="Calibri"/>
          <w:b w:val="0"/>
          <w:sz w:val="22"/>
        </w:rPr>
        <w:t>In the room she can seem muted yet thoughtful, with brief moments of warmth or humour. She has already exercised agency by self-referring and by tolerating direct risk questions. The clinical question for trainees is how much structure she can bear early on, how explicitly to hold risk without shaming her, and where neurodevelopmental curiosity belongs alongside mood, family dynamics, and avoidance.</w:t>
      </w:r>
    </w:p>
    <w:p/>
    <w:p>
      <w:pPr>
        <w:spacing w:after="160" w:line="276" w:lineRule="auto"/>
      </w:pPr>
      <w:r>
        <w:rPr>
          <w:rFonts w:ascii="Calibri" w:hAnsi="Calibri"/>
          <w:b/>
          <w:sz w:val="22"/>
        </w:rPr>
        <w:t xml:space="preserve">Trainee instruction: </w:t>
      </w:r>
      <w:r>
        <w:rPr>
          <w:rFonts w:ascii="Calibri" w:hAnsi="Calibri"/>
          <w:sz w:val="22"/>
        </w:rPr>
        <w:t>In this exercise, please do not use teaching time asking about missing background details; instead, agree as a group to “fill in the gaps” so you can focus on completing the clinical task.</w:t>
      </w:r>
    </w:p>
    <w:p/>
    <w:p>
      <w:r>
        <w:rPr>
          <w:rFonts w:ascii="Calibri" w:hAnsi="Calibri"/>
          <w:b/>
          <w:sz w:val="22"/>
        </w:rPr>
        <w:t>Tasks</w:t>
      </w:r>
    </w:p>
    <w:p>
      <w:pPr>
        <w:spacing w:after="120" w:line="276" w:lineRule="auto"/>
      </w:pPr>
      <w:r>
        <w:rPr>
          <w:rFonts w:ascii="Calibri" w:hAnsi="Calibri"/>
          <w:b w:val="0"/>
          <w:sz w:val="22"/>
        </w:rPr>
        <w:t>1. Agree initial assessment priorities and immediate safety steps for the first two sessions.</w:t>
      </w:r>
    </w:p>
    <w:p>
      <w:pPr>
        <w:spacing w:after="120" w:line="276" w:lineRule="auto"/>
      </w:pPr>
      <w:r>
        <w:rPr>
          <w:rFonts w:ascii="Calibri" w:hAnsi="Calibri"/>
          <w:b w:val="0"/>
          <w:sz w:val="22"/>
        </w:rPr>
        <w:t>2. Draft a brief working formulation and a plausible focus for sessions one through six to eight, stating what realistic change would look like.</w:t>
      </w:r>
    </w:p>
    <w:p>
      <w:pPr>
        <w:spacing w:after="120" w:line="276" w:lineRule="auto"/>
      </w:pPr>
      <w:r>
        <w:rPr>
          <w:rFonts w:ascii="Calibri" w:hAnsi="Calibri"/>
          <w:b w:val="0"/>
          <w:sz w:val="22"/>
        </w:rPr>
        <w:t>3. Identify one respectful way to explore neurodivergence-relevant questions without bypassing shame or active risk.</w:t>
      </w:r>
    </w:p>
    <w:p/>
    <w:p>
      <w:pPr>
        <w:spacing w:after="160" w:line="276" w:lineRule="auto"/>
      </w:pPr>
      <w:r>
        <w:rPr>
          <w:rFonts w:ascii="Calibri" w:hAnsi="Calibri"/>
          <w:b/>
          <w:sz w:val="22"/>
        </w:rPr>
        <w:t xml:space="preserve">ACE-Cases score intention: </w:t>
      </w:r>
      <w:r>
        <w:rPr>
          <w:rFonts w:ascii="Calibri" w:hAnsi="Calibri"/>
          <w:sz w:val="22"/>
        </w:rPr>
        <w:t>The vignette chains observable behaviour, family and cultural framing of independence, shame, and a specific low-lethality but serious risk moment so that reasoning about assessment and early pacing is explicit; tasks force formulation, sequencing, and integration of ND-sensitive enquiry with safeguarding, supporting strong marks on analytical clarity, clinical completeness, context &amp; ethics, and educational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