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rPr>
        <w:t>ACE-Case Michael — Risk</w:t>
      </w:r>
    </w:p>
    <w:p>
      <w:pPr>
        <w:spacing w:after="120" w:line="276" w:lineRule="auto"/>
      </w:pPr>
      <w:r>
        <w:rPr>
          <w:rFonts w:ascii="Calibri" w:hAnsi="Calibri"/>
          <w:b w:val="0"/>
          <w:sz w:val="22"/>
        </w:rPr>
        <w:t>Michael is twenty-nine and began counselling after a close relative died about six months ago. Early sessions included some description of the loss. Lately he cancels at short notice. He arrives on time but sits in near silence, or says he has “nothing to report.” When the therapist reflects what is missing, he shrugs or repeats that he is coping. Relatives say he rarely leaves the house. He has stopped seeing friends. He no longer runs or plays music, routines that used to structure his week. They have urged him to see a GP; he refuses, saying talking should be enough or that doctors “pathologise grief.” Day-to-day functioning has thinned: he often skips breakfast or eats one meal late; nights vary from waking around 3 a.m. to sleeping past midday; on harder weeks he may go several days without showering.</w:t>
      </w:r>
    </w:p>
    <w:p>
      <w:pPr>
        <w:spacing w:after="120" w:line="276" w:lineRule="auto"/>
      </w:pPr>
      <w:r>
        <w:rPr>
          <w:rFonts w:ascii="Calibri" w:hAnsi="Calibri"/>
          <w:b w:val="0"/>
          <w:sz w:val="22"/>
        </w:rPr>
        <w:t>There is no clear statement of suicidal intent or plan. Asked directly, he denies thoughts of harming himself; answers stay brief and flat. In session he often says he is “fine” while offering almost no inner detail. His practitioner feels unease that does not map neatly onto a checklist—not enough for emergency services, too much to ignore. Background hints suggest long-standing social withdrawal and possible neurodevelopmental difference; bereavement may sit on top of older isolation and difficulty with change.</w:t>
      </w:r>
    </w:p>
    <w:p>
      <w:pPr>
        <w:spacing w:after="120" w:line="276" w:lineRule="auto"/>
      </w:pPr>
      <w:r>
        <w:rPr>
          <w:rFonts w:ascii="Calibri" w:hAnsi="Calibri"/>
          <w:b w:val="0"/>
          <w:sz w:val="22"/>
        </w:rPr>
        <w:t>Risk judgement here stays genuinely uncertain. Two careful clinicians could read the same facts and disagree on whether to act now or hold the frame. Waiting risks missing deterioration; acting early risks rupture or over-reaction without clearer data. Trainees should spell out what would justify breaching routine confidentiality or seeking urgent input, what can be monitored while the alliance strengthens, and how the therapist’s anxiety might bias the record or the next step. Notes should show what was asked, what was answered, and what remains unknown—not reassurance in place of evidence. The quality of reasoning matters more than one “correct” escalation decision.</w:t>
      </w:r>
    </w:p>
    <w:p/>
    <w:p>
      <w:pPr>
        <w:spacing w:after="160" w:line="276" w:lineRule="auto"/>
      </w:pPr>
      <w:r>
        <w:rPr>
          <w:rFonts w:ascii="Calibri" w:hAnsi="Calibri"/>
          <w:b/>
          <w:sz w:val="22"/>
        </w:rPr>
        <w:t xml:space="preserve">Trainee instruction: </w:t>
      </w:r>
      <w:r>
        <w:rPr>
          <w:rFonts w:ascii="Calibri" w:hAnsi="Calibri"/>
          <w:sz w:val="22"/>
        </w:rPr>
        <w:t>In this exercise, please do not use teaching time asking about missing background details; instead, agree as a group to “fill in the gaps” so you can focus on completing the clinical task.</w:t>
      </w:r>
    </w:p>
    <w:p/>
    <w:p>
      <w:r>
        <w:rPr>
          <w:rFonts w:ascii="Calibri" w:hAnsi="Calibri"/>
          <w:b/>
          <w:sz w:val="22"/>
        </w:rPr>
        <w:t>Tasks</w:t>
      </w:r>
    </w:p>
    <w:p>
      <w:pPr>
        <w:spacing w:after="120" w:line="276" w:lineRule="auto"/>
      </w:pPr>
      <w:r>
        <w:rPr>
          <w:rFonts w:ascii="Calibri" w:hAnsi="Calibri"/>
          <w:b w:val="0"/>
          <w:sz w:val="22"/>
        </w:rPr>
        <w:t>1. Decide whether this situation requires action now (and what action), or a period of continued work within current boundaries, and justify your choice in plain clinical language.</w:t>
      </w:r>
    </w:p>
    <w:p>
      <w:pPr>
        <w:spacing w:after="120" w:line="276" w:lineRule="auto"/>
      </w:pPr>
      <w:r>
        <w:rPr>
          <w:rFonts w:ascii="Calibri" w:hAnsi="Calibri"/>
          <w:b w:val="0"/>
          <w:sz w:val="22"/>
        </w:rPr>
        <w:t>2. If you choose to wait, define specific observable triggers that would force immediate escalation or re-referral.</w:t>
      </w:r>
    </w:p>
    <w:p>
      <w:pPr>
        <w:spacing w:after="120" w:line="276" w:lineRule="auto"/>
      </w:pPr>
      <w:r>
        <w:rPr>
          <w:rFonts w:ascii="Calibri" w:hAnsi="Calibri"/>
          <w:b w:val="0"/>
          <w:sz w:val="22"/>
        </w:rPr>
        <w:t>3. Name one supervision question you would bring from this scenario, linking it to either risk reasoning or countertransference.</w:t>
      </w:r>
    </w:p>
    <w:p/>
    <w:p>
      <w:pPr>
        <w:spacing w:after="160" w:line="276" w:lineRule="auto"/>
      </w:pPr>
      <w:r>
        <w:rPr>
          <w:rFonts w:ascii="Calibri" w:hAnsi="Calibri"/>
          <w:b/>
          <w:sz w:val="22"/>
        </w:rPr>
        <w:t xml:space="preserve">ACE-Cases score intention: </w:t>
      </w:r>
      <w:r>
        <w:rPr>
          <w:rFonts w:ascii="Calibri" w:hAnsi="Calibri"/>
          <w:sz w:val="22"/>
        </w:rPr>
        <w:t>Ambiguous risk, concrete functional detail, and practitioner unease mirror real threshold decisions; tasks force explicit criteria, documentation logic, and supervision use—mapping onto analytical clarity, clinical completeness, context &amp; ethics, and structure without artificial resolution.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