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ACE-Case Ousmane — Overload</w:t>
      </w:r>
    </w:p>
    <w:p>
      <w:pPr>
        <w:spacing w:after="120" w:line="276" w:lineRule="auto"/>
      </w:pPr>
      <w:r>
        <w:rPr>
          <w:rFonts w:ascii="Calibri" w:hAnsi="Calibri"/>
          <w:b w:val="0"/>
          <w:sz w:val="22"/>
        </w:rPr>
        <w:t>Ousmane is thirty-six and raising two children, aged six and nine, alone. A local support service has referred him after repeated no-shows at appointments and rising rent arrears. The school has flagged patchy attendance, homework not returned, and concern that the home environment may not be steady enough for learning. Teachers describe mornings when the children arrive tired, without lunch money or signed forms. Ousmane is not hostile at the gate—he looks overwhelmed and apologetic.</w:t>
      </w:r>
    </w:p>
    <w:p>
      <w:pPr>
        <w:spacing w:after="120" w:line="276" w:lineRule="auto"/>
      </w:pPr>
      <w:r>
        <w:rPr>
          <w:rFonts w:ascii="Calibri" w:hAnsi="Calibri"/>
          <w:b w:val="0"/>
          <w:sz w:val="22"/>
        </w:rPr>
        <w:t>Key overload features are easy to see on a quick read: executive strain (starting and finishing tasks, holding sequences in mind), administrative avoidance (forms, letters, phone trees), and shutdown when demand spikes. He says he wants to sort things out. Faced with paperwork or ringing services back, he often freezes. Post stays unopened. Calls go unanswered. He dreads being seen as negligent or lazy. Sometimes anxiety spikes and he cannot hold the steps of a phone call in mind.</w:t>
      </w:r>
    </w:p>
    <w:p>
      <w:pPr>
        <w:spacing w:after="120" w:line="276" w:lineRule="auto"/>
      </w:pPr>
      <w:r>
        <w:rPr>
          <w:rFonts w:ascii="Calibri" w:hAnsi="Calibri"/>
          <w:b w:val="0"/>
          <w:sz w:val="22"/>
        </w:rPr>
        <w:t>His flat is harder to keep ordered. Sleep is poor. There are stretches where he shuts down and cannot initiate the smallest task—even meals or washing uniforms. He carries intense guilt, telling workers he is “failing” his children. Support outside immediate services is thin; extended family live at a distance. Previous contacts have raised possible ADHD; he has never been assessed. He links lifelong attention, time-management, and organisation difficulties to unemployment after redundancy, money pressure, and the load of solo parenting. He minimises distress in front of professionals, so he can look more capable than he feels between visits.</w:t>
      </w:r>
    </w:p>
    <w:p>
      <w:pPr>
        <w:spacing w:after="120" w:line="276" w:lineRule="auto"/>
      </w:pPr>
      <w:r>
        <w:rPr>
          <w:rFonts w:ascii="Calibri" w:hAnsi="Calibri"/>
          <w:b w:val="0"/>
          <w:sz w:val="22"/>
        </w:rPr>
        <w:t>On direct questioning he denies wanting to end his life. He speaks of feeling cornered and wishing he could escape. His children anchor him. The picture combines executive-function strain, shame, material stress, and safeguarding questions about the children’s welfare. He is relieved to talk and anxious about new expectations without a viable first step. Cultural and structural factors matter too: how services communicate, and how blame lands on parents under financial strain.</w:t>
      </w:r>
    </w:p>
    <w:p/>
    <w:p>
      <w:pPr>
        <w:spacing w:after="160" w:line="276" w:lineRule="auto"/>
      </w:pPr>
      <w:r>
        <w:rPr>
          <w:rFonts w:ascii="Calibri" w:hAnsi="Calibri"/>
          <w:b/>
          <w:sz w:val="22"/>
        </w:rPr>
        <w:t xml:space="preserve">Trainee instruction: </w:t>
      </w:r>
      <w:r>
        <w:rPr>
          <w:rFonts w:ascii="Calibri" w:hAnsi="Calibri"/>
          <w:sz w:val="22"/>
        </w:rPr>
        <w:t>In this exercise, please do not use teaching time asking about missing background details; instead, agree as a group to “fill in the gaps” so you can focus on completing the clinical task.</w:t>
      </w:r>
    </w:p>
    <w:p/>
    <w:p>
      <w:r>
        <w:rPr>
          <w:rFonts w:ascii="Calibri" w:hAnsi="Calibri"/>
          <w:b/>
          <w:sz w:val="22"/>
        </w:rPr>
        <w:t>Tasks</w:t>
      </w:r>
    </w:p>
    <w:p>
      <w:pPr>
        <w:spacing w:after="120" w:line="276" w:lineRule="auto"/>
      </w:pPr>
      <w:r>
        <w:rPr>
          <w:rFonts w:ascii="Calibri" w:hAnsi="Calibri"/>
          <w:b w:val="0"/>
          <w:sz w:val="22"/>
        </w:rPr>
        <w:t>1. Summarise the main neurodiversity-related and contextual factors that explain Ousmane’s presentation and functioning.</w:t>
      </w:r>
    </w:p>
    <w:p>
      <w:pPr>
        <w:spacing w:after="120" w:line="276" w:lineRule="auto"/>
      </w:pPr>
      <w:r>
        <w:rPr>
          <w:rFonts w:ascii="Calibri" w:hAnsi="Calibri"/>
          <w:b w:val="0"/>
          <w:sz w:val="22"/>
        </w:rPr>
        <w:t>2. Propose support for both emotional and practical challenges, including any steps that would need liaison outside the counselling hour.</w:t>
      </w:r>
    </w:p>
    <w:p>
      <w:pPr>
        <w:spacing w:after="120" w:line="276" w:lineRule="auto"/>
      </w:pPr>
      <w:r>
        <w:rPr>
          <w:rFonts w:ascii="Calibri" w:hAnsi="Calibri"/>
          <w:b w:val="0"/>
          <w:sz w:val="22"/>
        </w:rPr>
        <w:t>3. Describe how you would use bifocal vision here: holding realistic limits and environmental strain while also attending to meaning, dignity, and growth within psychosynthesis-informed practice.</w:t>
      </w:r>
    </w:p>
    <w:p/>
    <w:p>
      <w:pPr>
        <w:spacing w:after="160" w:line="276" w:lineRule="auto"/>
      </w:pPr>
      <w:r>
        <w:rPr>
          <w:rFonts w:ascii="Calibri" w:hAnsi="Calibri"/>
          <w:b/>
          <w:sz w:val="22"/>
        </w:rPr>
        <w:t xml:space="preserve">ACE-Cases score intention: </w:t>
      </w:r>
      <w:r>
        <w:rPr>
          <w:rFonts w:ascii="Calibri" w:hAnsi="Calibri"/>
          <w:sz w:val="22"/>
        </w:rPr>
        <w:t>The case embeds service culture, power, parenting, possible ND, executive overload, and safeguarding so that evidence-informed formulation and ethical boundaries must surface; tasks require integration of psychosynthesis concepts with concrete systemic action, lifting scores on context &amp; ethics, evidence integration, analytical clarity, and originality.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