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E27EE" w14:textId="5E2B0FAA" w:rsidR="00E810F2" w:rsidRDefault="001905CC">
      <w:pPr>
        <w:pStyle w:val="Heading1"/>
      </w:pPr>
      <w:r>
        <w:rPr>
          <w:rFonts w:ascii="Calibri" w:hAnsi="Calibri"/>
        </w:rPr>
        <w:t xml:space="preserve"> Case Emily — Dissociation</w:t>
      </w:r>
    </w:p>
    <w:p w14:paraId="267E9BF8" w14:textId="77777777" w:rsidR="00E810F2" w:rsidRDefault="00000000">
      <w:pPr>
        <w:spacing w:after="120"/>
      </w:pPr>
      <w:r>
        <w:t>Emily is twenty-two, a second-year undergraduate. Student counselling saw her after her personal tutor expressed concern about missed seminars and a withdrawn presentation in a tutorial. The tutor does not know about self-harm; Emily asked that counselling not contact the department unless she agrees. The university’s student support policy puts pressure both ways: duty toward student welfare and expectations that courses are informed when risk is “serious.” Where that line falls is unclear to you.</w:t>
      </w:r>
    </w:p>
    <w:p w14:paraId="62325002" w14:textId="77777777" w:rsidR="00E810F2" w:rsidRDefault="00000000">
      <w:pPr>
        <w:spacing w:after="120"/>
      </w:pPr>
      <w:r>
        <w:t>Emily describes anxiety, low mood, and self-harm that has increased over recent months—except in the first session she said the last episode was “weeks ago,” and in the third she said she could not remember whether she cut three days ago or only thought about it. She shows you healed marks on her forearm; when you ask how they happened, she stares, then says she was “probably dissociating” and is not sure of the sequence. Sometimes she hears her phone buzz from another room but cannot connect the sound to herself. Episodes of detachment last from minutes to hours; after one she missed a counselling appointment entirely and later said she lost the afternoon.</w:t>
      </w:r>
    </w:p>
    <w:p w14:paraId="3F34518A" w14:textId="77777777" w:rsidR="00E810F2" w:rsidRDefault="00000000">
      <w:pPr>
        <w:spacing w:after="120"/>
      </w:pPr>
      <w:r>
        <w:t>She is not certain she can keep herself safe. She fears psychiatric assessment, compulsory leave, or being labelled attention-seeking. Her family values stoicism; she has told them little. This week she emailed saying she is “okay now” and asking to cancel the next session; the tone reads flat. You have no GP collateral. NHS crisis services in your area typically require explicit intent or a recent attempt for same-day input; her presentation is fluctuating and partially disclosed.</w:t>
      </w:r>
    </w:p>
    <w:p w14:paraId="5528FBCA" w14:textId="77777777" w:rsidR="00E810F2" w:rsidRDefault="00000000">
      <w:pPr>
        <w:spacing w:after="120"/>
      </w:pPr>
      <w:r>
        <w:t>You must act without a coherent timeline: her memory gaps may reflect dissociation, minimisation, or shame—or all three. Escalating (breach of confidentiality to the university, GP, or crisis team) could protect her or could destroy the alliance and push help underground. Not escalating could leave risk invisible. Her personal tutor has emailed counselling asking only whether Emily is “engaging”; you have not replied. There is no single traumatic index event in the material; do not invent one. Work only with what she has said while holding that obscured risk is still risk. The decision you make today—call her back, write to the GP, inform the tutor, or hold the frame—will be provisional and contestable, and you will not know for weeks whether it was “right.” That is the point of the exercise.</w:t>
      </w:r>
    </w:p>
    <w:p w14:paraId="20505A5D" w14:textId="77777777" w:rsidR="00E810F2" w:rsidRDefault="00E810F2"/>
    <w:p w14:paraId="7A4400BE" w14:textId="77777777" w:rsidR="0003358F" w:rsidRDefault="0003358F">
      <w:pPr>
        <w:rPr>
          <w:b/>
        </w:rPr>
      </w:pPr>
      <w:r>
        <w:rPr>
          <w:b/>
        </w:rPr>
        <w:br w:type="page"/>
      </w:r>
    </w:p>
    <w:p w14:paraId="1B1428BD" w14:textId="77777777" w:rsidR="00E33087" w:rsidRPr="00E33087" w:rsidRDefault="00E33087" w:rsidP="00E33087">
      <w:pPr>
        <w:rPr>
          <w:b/>
        </w:rPr>
      </w:pPr>
      <w:r w:rsidRPr="00E33087">
        <w:rPr>
          <w:b/>
        </w:rPr>
        <w:lastRenderedPageBreak/>
        <w:t>To save time:</w:t>
      </w:r>
      <w:r w:rsidRPr="00E33087">
        <w:rPr>
          <w:b/>
        </w:rPr>
        <w:br/>
        <w:t>If key information appears to be missing, make reasonable clinical assumptions and proceed.</w:t>
      </w:r>
      <w:r w:rsidRPr="00E33087">
        <w:rPr>
          <w:b/>
        </w:rPr>
        <w:br/>
        <w:t>Don’t worry about constructing the perfect case scenario.</w:t>
      </w:r>
    </w:p>
    <w:p w14:paraId="40B80EEA" w14:textId="77777777" w:rsidR="00E810F2" w:rsidRDefault="00E810F2"/>
    <w:p w14:paraId="70210B8F" w14:textId="77777777" w:rsidR="00E810F2" w:rsidRDefault="00000000">
      <w:r>
        <w:rPr>
          <w:b/>
        </w:rPr>
        <w:t>Tasks</w:t>
      </w:r>
    </w:p>
    <w:p w14:paraId="3EC56403" w14:textId="77777777" w:rsidR="00E810F2" w:rsidRDefault="00000000">
      <w:pPr>
        <w:spacing w:after="120"/>
      </w:pPr>
      <w:r>
        <w:t xml:space="preserve">1. </w:t>
      </w:r>
      <w:r w:rsidRPr="00E33087">
        <w:rPr>
          <w:b/>
          <w:bCs/>
        </w:rPr>
        <w:t>Formulation under uncertainty:</w:t>
      </w:r>
      <w:r>
        <w:t xml:space="preserve"> link mood, dissociation, academic pressure, family context, and self-harm—explicitly noting contradictions in her account and what you still cannot know.</w:t>
      </w:r>
    </w:p>
    <w:p w14:paraId="359A92B2" w14:textId="77777777" w:rsidR="00E810F2" w:rsidRDefault="00000000">
      <w:pPr>
        <w:spacing w:after="120"/>
      </w:pPr>
      <w:r>
        <w:t>2.</w:t>
      </w:r>
      <w:r w:rsidRPr="00E33087">
        <w:rPr>
          <w:b/>
          <w:bCs/>
        </w:rPr>
        <w:t xml:space="preserve"> Immediate clinical decision</w:t>
      </w:r>
      <w:r>
        <w:t>: given the vague email and unclear recent self-harm, what do you do before the next scheduled contact (including whether to attempt outreach, involve others, or document and wait)—and what is the ethical trade-off?</w:t>
      </w:r>
    </w:p>
    <w:p w14:paraId="05FA74B5" w14:textId="77777777" w:rsidR="00E810F2" w:rsidRDefault="00000000">
      <w:pPr>
        <w:spacing w:after="120"/>
      </w:pPr>
      <w:r>
        <w:t>3.</w:t>
      </w:r>
      <w:r w:rsidRPr="00E33087">
        <w:rPr>
          <w:b/>
          <w:bCs/>
        </w:rPr>
        <w:t xml:space="preserve"> Longer-term plan and/or supervision reflection:</w:t>
      </w:r>
      <w:r>
        <w:t xml:space="preserve"> outline a stabilisation-first sequence for the next few sessions if she remains in contact, and one supervision question on escalation thresholds or institutional pressure.</w:t>
      </w:r>
    </w:p>
    <w:p w14:paraId="0972C9BA" w14:textId="68B851AB" w:rsidR="00E810F2" w:rsidRDefault="001905CC">
      <w:r>
        <w:rPr>
          <w:b/>
        </w:rPr>
        <w:t xml:space="preserve"> </w:t>
      </w:r>
    </w:p>
    <w:sectPr w:rsidR="00E810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1215321">
    <w:abstractNumId w:val="8"/>
  </w:num>
  <w:num w:numId="2" w16cid:durableId="1368532563">
    <w:abstractNumId w:val="6"/>
  </w:num>
  <w:num w:numId="3" w16cid:durableId="1347558394">
    <w:abstractNumId w:val="5"/>
  </w:num>
  <w:num w:numId="4" w16cid:durableId="1773891522">
    <w:abstractNumId w:val="4"/>
  </w:num>
  <w:num w:numId="5" w16cid:durableId="704407535">
    <w:abstractNumId w:val="7"/>
  </w:num>
  <w:num w:numId="6" w16cid:durableId="141166465">
    <w:abstractNumId w:val="3"/>
  </w:num>
  <w:num w:numId="7" w16cid:durableId="956836467">
    <w:abstractNumId w:val="2"/>
  </w:num>
  <w:num w:numId="8" w16cid:durableId="748114326">
    <w:abstractNumId w:val="1"/>
  </w:num>
  <w:num w:numId="9" w16cid:durableId="554046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58F"/>
    <w:rsid w:val="00034616"/>
    <w:rsid w:val="0006063C"/>
    <w:rsid w:val="0015074B"/>
    <w:rsid w:val="001905CC"/>
    <w:rsid w:val="0029639D"/>
    <w:rsid w:val="00326F90"/>
    <w:rsid w:val="00522A30"/>
    <w:rsid w:val="00551889"/>
    <w:rsid w:val="00AA1D8D"/>
    <w:rsid w:val="00B47730"/>
    <w:rsid w:val="00CB0664"/>
    <w:rsid w:val="00E33087"/>
    <w:rsid w:val="00E810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3F1BF2"/>
  <w14:defaultImageDpi w14:val="300"/>
  <w15:docId w15:val="{6130B3BE-B102-477B-9F3E-02E717192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523</Words>
  <Characters>2799</Characters>
  <Application>Microsoft Office Word</Application>
  <DocSecurity>0</DocSecurity>
  <Lines>45</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Bryant</cp:lastModifiedBy>
  <cp:revision>4</cp:revision>
  <dcterms:created xsi:type="dcterms:W3CDTF">2013-12-23T23:15:00Z</dcterms:created>
  <dcterms:modified xsi:type="dcterms:W3CDTF">2026-04-10T07:34:00Z</dcterms:modified>
  <cp:category/>
</cp:coreProperties>
</file>